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5" w:type="dxa"/>
        <w:tblInd w:w="-289" w:type="dxa"/>
        <w:tblLayout w:type="fixed"/>
        <w:tblLook w:val="04A0" w:firstRow="1" w:lastRow="0" w:firstColumn="1" w:lastColumn="0" w:noHBand="0" w:noVBand="1"/>
      </w:tblPr>
      <w:tblGrid>
        <w:gridCol w:w="4314"/>
        <w:gridCol w:w="5501"/>
      </w:tblGrid>
      <w:tr w:rsidR="0035203F" w:rsidRPr="0035203F" w14:paraId="79291961" w14:textId="77777777" w:rsidTr="002511C8">
        <w:trPr>
          <w:trHeight w:val="1046"/>
        </w:trPr>
        <w:tc>
          <w:tcPr>
            <w:tcW w:w="4314" w:type="dxa"/>
          </w:tcPr>
          <w:p w14:paraId="587F4ACF" w14:textId="77777777" w:rsidR="008A3505" w:rsidRPr="0035203F" w:rsidRDefault="008A3505" w:rsidP="00306A37">
            <w:pPr>
              <w:pStyle w:val="BodyText"/>
              <w:spacing w:line="240" w:lineRule="auto"/>
              <w:ind w:firstLine="720"/>
              <w:rPr>
                <w:sz w:val="24"/>
                <w:szCs w:val="24"/>
              </w:rPr>
            </w:pPr>
            <w:bookmarkStart w:id="0" w:name="_Hlk143725987"/>
            <w:r w:rsidRPr="0035203F">
              <w:rPr>
                <w:sz w:val="24"/>
                <w:szCs w:val="24"/>
              </w:rPr>
              <w:t xml:space="preserve">QUỐC </w:t>
            </w:r>
            <w:r w:rsidRPr="0035203F">
              <w:rPr>
                <w:sz w:val="24"/>
                <w:szCs w:val="24"/>
                <w:lang w:val="vi-VN"/>
              </w:rPr>
              <w:t>HỘI</w:t>
            </w:r>
            <w:r w:rsidRPr="0035203F">
              <w:rPr>
                <w:sz w:val="24"/>
                <w:szCs w:val="24"/>
              </w:rPr>
              <w:t xml:space="preserve"> KHÓA XV</w:t>
            </w:r>
          </w:p>
          <w:p w14:paraId="2665DA5E" w14:textId="77777777" w:rsidR="008A3505" w:rsidRPr="0035203F" w:rsidRDefault="008A3505" w:rsidP="00306A37">
            <w:pPr>
              <w:spacing w:after="0" w:line="240" w:lineRule="auto"/>
              <w:jc w:val="center"/>
              <w:rPr>
                <w:rFonts w:ascii="Times New Roman" w:hAnsi="Times New Roman"/>
                <w:b/>
                <w:bCs/>
                <w:sz w:val="24"/>
                <w:szCs w:val="24"/>
                <w:lang w:val="nl-NL"/>
              </w:rPr>
            </w:pPr>
            <w:r w:rsidRPr="0035203F">
              <w:rPr>
                <w:rFonts w:ascii="Times New Roman" w:hAnsi="Times New Roman"/>
                <w:b/>
                <w:bCs/>
                <w:sz w:val="24"/>
                <w:szCs w:val="24"/>
                <w:lang w:val="nl-NL"/>
              </w:rPr>
              <w:t>ỦY BAN KHOA HỌC, CÔNG NGHỆ VÀ MÔI TRƯỜNG</w:t>
            </w:r>
          </w:p>
          <w:p w14:paraId="2C770298" w14:textId="77777777" w:rsidR="008A3505" w:rsidRPr="0035203F" w:rsidRDefault="000935E6" w:rsidP="00831F72">
            <w:pPr>
              <w:spacing w:before="240" w:after="60" w:line="240" w:lineRule="auto"/>
              <w:rPr>
                <w:rFonts w:ascii="Times New Roman" w:hAnsi="Times New Roman"/>
                <w:b/>
                <w:sz w:val="24"/>
                <w:szCs w:val="24"/>
                <w:u w:val="single"/>
              </w:rPr>
            </w:pPr>
            <w:r w:rsidRPr="0035203F">
              <w:rPr>
                <w:noProof/>
              </w:rPr>
              <mc:AlternateContent>
                <mc:Choice Requires="wps">
                  <w:drawing>
                    <wp:anchor distT="4294967295" distB="4294967295" distL="114300" distR="114300" simplePos="0" relativeHeight="251660288" behindDoc="0" locked="0" layoutInCell="1" allowOverlap="1" wp14:anchorId="4FCF3FA3" wp14:editId="5CC92B7A">
                      <wp:simplePos x="0" y="0"/>
                      <wp:positionH relativeFrom="column">
                        <wp:posOffset>696595</wp:posOffset>
                      </wp:positionH>
                      <wp:positionV relativeFrom="paragraph">
                        <wp:posOffset>29209</wp:posOffset>
                      </wp:positionV>
                      <wp:extent cx="11449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00DFD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2.3pt" to="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" strokecolor="black [3200]" strokeweight=".5pt">
                      <v:stroke joinstyle="miter"/>
                      <o:lock v:ext="edit" shapetype="f"/>
                    </v:line>
                  </w:pict>
                </mc:Fallback>
              </mc:AlternateContent>
            </w:r>
          </w:p>
        </w:tc>
        <w:tc>
          <w:tcPr>
            <w:tcW w:w="5501" w:type="dxa"/>
          </w:tcPr>
          <w:p w14:paraId="6CAB4EC4" w14:textId="77777777" w:rsidR="008A3505" w:rsidRPr="0035203F" w:rsidRDefault="008A3505" w:rsidP="00306A37">
            <w:pPr>
              <w:widowControl w:val="0"/>
              <w:shd w:val="clear" w:color="auto" w:fill="FFFFFF"/>
              <w:tabs>
                <w:tab w:val="left" w:pos="720"/>
                <w:tab w:val="left" w:pos="1134"/>
              </w:tabs>
              <w:spacing w:after="0" w:line="240" w:lineRule="auto"/>
              <w:jc w:val="center"/>
              <w:rPr>
                <w:rFonts w:ascii="Times New Roman" w:hAnsi="Times New Roman"/>
                <w:b/>
                <w:sz w:val="24"/>
                <w:szCs w:val="24"/>
              </w:rPr>
            </w:pPr>
            <w:r w:rsidRPr="0035203F">
              <w:rPr>
                <w:rFonts w:ascii="Times New Roman" w:hAnsi="Times New Roman"/>
                <w:b/>
                <w:sz w:val="24"/>
                <w:szCs w:val="24"/>
              </w:rPr>
              <w:t xml:space="preserve">CỘNG HÒA XÃ </w:t>
            </w:r>
            <w:r w:rsidRPr="0035203F">
              <w:rPr>
                <w:rFonts w:ascii="Times New Roman" w:hAnsi="Times New Roman"/>
                <w:b/>
                <w:sz w:val="24"/>
                <w:szCs w:val="24"/>
                <w:lang w:val="vi-VN"/>
              </w:rPr>
              <w:t>HỘI</w:t>
            </w:r>
            <w:r w:rsidRPr="0035203F">
              <w:rPr>
                <w:rFonts w:ascii="Times New Roman" w:hAnsi="Times New Roman"/>
                <w:b/>
                <w:sz w:val="24"/>
                <w:szCs w:val="24"/>
              </w:rPr>
              <w:t xml:space="preserve"> CHỦ NGHĨA VIỆT NAM</w:t>
            </w:r>
          </w:p>
          <w:p w14:paraId="02F9B556" w14:textId="4461FDD3" w:rsidR="008A3505" w:rsidRPr="0035203F" w:rsidRDefault="008A3505" w:rsidP="00306A37">
            <w:pPr>
              <w:spacing w:after="0" w:line="240" w:lineRule="auto"/>
              <w:jc w:val="center"/>
              <w:rPr>
                <w:rFonts w:ascii="Times New Roman" w:hAnsi="Times New Roman"/>
                <w:b/>
                <w:sz w:val="28"/>
                <w:szCs w:val="28"/>
              </w:rPr>
            </w:pPr>
            <w:r w:rsidRPr="0035203F">
              <w:rPr>
                <w:rFonts w:ascii="Times New Roman" w:hAnsi="Times New Roman"/>
                <w:b/>
                <w:sz w:val="28"/>
                <w:szCs w:val="28"/>
              </w:rPr>
              <w:t xml:space="preserve">Độc lập </w:t>
            </w:r>
            <w:r w:rsidR="003F21C9" w:rsidRPr="0035203F">
              <w:rPr>
                <w:rFonts w:ascii="Times New Roman" w:hAnsi="Times New Roman"/>
                <w:b/>
                <w:sz w:val="28"/>
                <w:szCs w:val="28"/>
              </w:rPr>
              <w:t>-</w:t>
            </w:r>
            <w:r w:rsidRPr="0035203F">
              <w:rPr>
                <w:rFonts w:ascii="Times New Roman" w:hAnsi="Times New Roman"/>
                <w:b/>
                <w:sz w:val="28"/>
                <w:szCs w:val="28"/>
              </w:rPr>
              <w:t xml:space="preserve"> Tự do </w:t>
            </w:r>
            <w:r w:rsidR="003F21C9" w:rsidRPr="0035203F">
              <w:rPr>
                <w:rFonts w:ascii="Times New Roman" w:hAnsi="Times New Roman"/>
                <w:b/>
                <w:sz w:val="28"/>
                <w:szCs w:val="28"/>
              </w:rPr>
              <w:t>-</w:t>
            </w:r>
            <w:r w:rsidRPr="0035203F">
              <w:rPr>
                <w:rFonts w:ascii="Times New Roman" w:hAnsi="Times New Roman"/>
                <w:b/>
                <w:sz w:val="28"/>
                <w:szCs w:val="28"/>
              </w:rPr>
              <w:t xml:space="preserve"> Hạnh phúc</w:t>
            </w:r>
          </w:p>
          <w:p w14:paraId="40AE48BC" w14:textId="556EA270" w:rsidR="008A3505" w:rsidRPr="0035203F" w:rsidRDefault="000935E6" w:rsidP="00B02BDE">
            <w:pPr>
              <w:spacing w:before="240" w:after="0" w:line="240" w:lineRule="auto"/>
              <w:rPr>
                <w:rFonts w:ascii="Times New Roman" w:hAnsi="Times New Roman"/>
                <w:i/>
              </w:rPr>
            </w:pPr>
            <w:r w:rsidRPr="0035203F">
              <w:rPr>
                <w:noProof/>
              </w:rPr>
              <mc:AlternateContent>
                <mc:Choice Requires="wps">
                  <w:drawing>
                    <wp:anchor distT="4294967295" distB="4294967295" distL="114300" distR="114300" simplePos="0" relativeHeight="251661312" behindDoc="0" locked="0" layoutInCell="1" allowOverlap="1" wp14:anchorId="2C95D5C4" wp14:editId="37E43901">
                      <wp:simplePos x="0" y="0"/>
                      <wp:positionH relativeFrom="column">
                        <wp:posOffset>565836</wp:posOffset>
                      </wp:positionH>
                      <wp:positionV relativeFrom="paragraph">
                        <wp:posOffset>12014</wp:posOffset>
                      </wp:positionV>
                      <wp:extent cx="21958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988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55pt,.95pt" to="21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" strokecolor="black [3200]" strokeweight=".5pt">
                      <v:stroke joinstyle="miter"/>
                      <o:lock v:ext="edit" shapetype="f"/>
                    </v:line>
                  </w:pict>
                </mc:Fallback>
              </mc:AlternateContent>
            </w:r>
            <w:r w:rsidR="00D37752" w:rsidRPr="0035203F">
              <w:rPr>
                <w:rFonts w:ascii="Times New Roman" w:hAnsi="Times New Roman"/>
                <w:i/>
                <w:sz w:val="28"/>
                <w:szCs w:val="28"/>
              </w:rPr>
              <w:t xml:space="preserve">          </w:t>
            </w:r>
            <w:r w:rsidR="008A3505" w:rsidRPr="0035203F">
              <w:rPr>
                <w:rFonts w:ascii="Times New Roman" w:hAnsi="Times New Roman"/>
                <w:i/>
                <w:sz w:val="28"/>
                <w:szCs w:val="28"/>
              </w:rPr>
              <w:t xml:space="preserve">  Hà Nội, ngày</w:t>
            </w:r>
            <w:r w:rsidR="00842BE5" w:rsidRPr="0035203F">
              <w:rPr>
                <w:rFonts w:ascii="Times New Roman" w:hAnsi="Times New Roman"/>
                <w:i/>
                <w:sz w:val="28"/>
                <w:szCs w:val="28"/>
              </w:rPr>
              <w:t xml:space="preserve"> </w:t>
            </w:r>
            <w:r w:rsidR="00F754F7">
              <w:rPr>
                <w:rFonts w:ascii="Times New Roman" w:hAnsi="Times New Roman"/>
                <w:i/>
                <w:sz w:val="28"/>
                <w:szCs w:val="28"/>
              </w:rPr>
              <w:t>26</w:t>
            </w:r>
            <w:r w:rsidR="00B02BDE">
              <w:rPr>
                <w:rFonts w:ascii="Times New Roman" w:hAnsi="Times New Roman"/>
                <w:i/>
                <w:sz w:val="28"/>
                <w:szCs w:val="28"/>
              </w:rPr>
              <w:t xml:space="preserve"> </w:t>
            </w:r>
            <w:r w:rsidR="008A3505" w:rsidRPr="0035203F">
              <w:rPr>
                <w:rFonts w:ascii="Times New Roman" w:hAnsi="Times New Roman"/>
                <w:i/>
                <w:sz w:val="28"/>
                <w:szCs w:val="28"/>
              </w:rPr>
              <w:t xml:space="preserve">tháng </w:t>
            </w:r>
            <w:r w:rsidR="00532453" w:rsidRPr="0035203F">
              <w:rPr>
                <w:rFonts w:ascii="Times New Roman" w:hAnsi="Times New Roman"/>
                <w:i/>
                <w:sz w:val="28"/>
                <w:szCs w:val="28"/>
              </w:rPr>
              <w:t>8</w:t>
            </w:r>
            <w:r w:rsidR="008A3505" w:rsidRPr="0035203F">
              <w:rPr>
                <w:rFonts w:ascii="Times New Roman" w:hAnsi="Times New Roman"/>
                <w:i/>
                <w:sz w:val="28"/>
                <w:szCs w:val="28"/>
              </w:rPr>
              <w:t xml:space="preserve"> năm 20</w:t>
            </w:r>
            <w:r w:rsidR="00D24C4A" w:rsidRPr="0035203F">
              <w:rPr>
                <w:rFonts w:ascii="Times New Roman" w:hAnsi="Times New Roman"/>
                <w:i/>
                <w:sz w:val="28"/>
                <w:szCs w:val="28"/>
              </w:rPr>
              <w:t>24</w:t>
            </w:r>
          </w:p>
        </w:tc>
      </w:tr>
    </w:tbl>
    <w:p w14:paraId="38BFA137" w14:textId="77777777" w:rsidR="008A3505" w:rsidRPr="00DC24C5" w:rsidRDefault="008A3505" w:rsidP="00BB3091">
      <w:pPr>
        <w:pStyle w:val="BodyText"/>
        <w:spacing w:line="240" w:lineRule="auto"/>
        <w:ind w:left="-567"/>
        <w:rPr>
          <w:b/>
          <w:sz w:val="2"/>
        </w:rPr>
      </w:pPr>
    </w:p>
    <w:p w14:paraId="2A9881F0" w14:textId="77777777" w:rsidR="008A3505" w:rsidRPr="0035203F" w:rsidRDefault="008A3505" w:rsidP="008949A2">
      <w:pPr>
        <w:pStyle w:val="BodyText"/>
        <w:spacing w:line="240" w:lineRule="auto"/>
        <w:jc w:val="center"/>
        <w:rPr>
          <w:b/>
        </w:rPr>
      </w:pPr>
      <w:r w:rsidRPr="0035203F">
        <w:rPr>
          <w:b/>
        </w:rPr>
        <w:t>BÁO CÁO</w:t>
      </w:r>
      <w:r w:rsidR="00D37752" w:rsidRPr="0035203F">
        <w:rPr>
          <w:b/>
        </w:rPr>
        <w:t xml:space="preserve"> TÓM TẮT</w:t>
      </w:r>
    </w:p>
    <w:p w14:paraId="37BDAE8D" w14:textId="77777777" w:rsidR="008A3505" w:rsidRPr="0035203F" w:rsidRDefault="008A3505" w:rsidP="008A3505">
      <w:pPr>
        <w:spacing w:after="0" w:line="240" w:lineRule="auto"/>
        <w:jc w:val="center"/>
        <w:rPr>
          <w:rFonts w:ascii="Times New Roman" w:hAnsi="Times New Roman"/>
          <w:b/>
          <w:bCs/>
          <w:noProof/>
          <w:sz w:val="28"/>
          <w:szCs w:val="28"/>
          <w:lang w:val="vi-VN"/>
        </w:rPr>
      </w:pPr>
      <w:r w:rsidRPr="0035203F">
        <w:rPr>
          <w:rFonts w:ascii="Times New Roman" w:hAnsi="Times New Roman"/>
          <w:b/>
          <w:bCs/>
          <w:sz w:val="28"/>
          <w:szCs w:val="28"/>
        </w:rPr>
        <w:t>Một số vấn đề l</w:t>
      </w:r>
      <w:r w:rsidRPr="0035203F">
        <w:rPr>
          <w:rFonts w:ascii="Times New Roman" w:hAnsi="Times New Roman"/>
          <w:b/>
          <w:bCs/>
          <w:sz w:val="28"/>
          <w:szCs w:val="28"/>
          <w:lang w:val="vi-VN"/>
        </w:rPr>
        <w:t>ớn</w:t>
      </w:r>
      <w:r w:rsidRPr="0035203F">
        <w:rPr>
          <w:rFonts w:ascii="Times New Roman" w:hAnsi="Times New Roman"/>
          <w:b/>
          <w:bCs/>
          <w:sz w:val="28"/>
          <w:szCs w:val="28"/>
        </w:rPr>
        <w:t xml:space="preserve"> v</w:t>
      </w:r>
      <w:r w:rsidRPr="0035203F">
        <w:rPr>
          <w:rFonts w:ascii="Times New Roman" w:hAnsi="Times New Roman"/>
          <w:b/>
          <w:bCs/>
          <w:sz w:val="28"/>
          <w:szCs w:val="28"/>
          <w:lang w:val="vi-VN"/>
        </w:rPr>
        <w:t>ề</w:t>
      </w:r>
      <w:r w:rsidRPr="0035203F">
        <w:rPr>
          <w:rFonts w:ascii="Times New Roman" w:hAnsi="Times New Roman"/>
          <w:b/>
          <w:bCs/>
          <w:sz w:val="28"/>
          <w:szCs w:val="28"/>
        </w:rPr>
        <w:t xml:space="preserve"> việc</w:t>
      </w:r>
      <w:r w:rsidRPr="0035203F">
        <w:rPr>
          <w:rFonts w:ascii="Times New Roman" w:hAnsi="Times New Roman"/>
          <w:b/>
          <w:bCs/>
          <w:noProof/>
          <w:sz w:val="28"/>
          <w:szCs w:val="28"/>
          <w:lang w:val="vi-VN"/>
        </w:rPr>
        <w:t xml:space="preserve"> giải trình, tiếp thu, chỉnh lý</w:t>
      </w:r>
    </w:p>
    <w:p w14:paraId="02DE3350" w14:textId="429DDEA5" w:rsidR="008A3505" w:rsidRDefault="008A3505" w:rsidP="008A3505">
      <w:pPr>
        <w:widowControl w:val="0"/>
        <w:shd w:val="clear" w:color="auto" w:fill="FFFFFF"/>
        <w:tabs>
          <w:tab w:val="left" w:pos="720"/>
          <w:tab w:val="left" w:pos="1134"/>
        </w:tabs>
        <w:spacing w:after="0" w:line="240" w:lineRule="auto"/>
        <w:jc w:val="center"/>
        <w:rPr>
          <w:rFonts w:ascii="Times New Roman" w:hAnsi="Times New Roman"/>
          <w:b/>
          <w:sz w:val="28"/>
          <w:szCs w:val="28"/>
          <w:lang w:val="en-GB"/>
        </w:rPr>
      </w:pPr>
      <w:r w:rsidRPr="0035203F">
        <w:rPr>
          <w:rFonts w:ascii="Times New Roman" w:hAnsi="Times New Roman"/>
          <w:b/>
          <w:sz w:val="28"/>
          <w:szCs w:val="28"/>
          <w:lang w:val="vi-VN"/>
        </w:rPr>
        <w:t xml:space="preserve">dự thảo Luật </w:t>
      </w:r>
      <w:r w:rsidR="00D24C4A" w:rsidRPr="0035203F">
        <w:rPr>
          <w:rFonts w:ascii="Times New Roman" w:hAnsi="Times New Roman"/>
          <w:b/>
          <w:sz w:val="28"/>
          <w:szCs w:val="28"/>
          <w:lang w:val="en-GB"/>
        </w:rPr>
        <w:t>Địa chất và Khoáng sản</w:t>
      </w:r>
    </w:p>
    <w:p w14:paraId="062410DF" w14:textId="2AD64B0D" w:rsidR="004A379E" w:rsidRPr="004A379E" w:rsidRDefault="004A379E" w:rsidP="004A379E">
      <w:pPr>
        <w:widowControl w:val="0"/>
        <w:shd w:val="clear" w:color="auto" w:fill="FFFFFF"/>
        <w:tabs>
          <w:tab w:val="left" w:pos="720"/>
          <w:tab w:val="left" w:pos="1134"/>
        </w:tabs>
        <w:spacing w:before="120" w:after="0"/>
        <w:jc w:val="center"/>
        <w:rPr>
          <w:rFonts w:ascii="Times New Roman" w:eastAsia="Calibri" w:hAnsi="Times New Roman"/>
          <w:bCs/>
          <w:i/>
          <w:iCs/>
          <w:sz w:val="26"/>
          <w:szCs w:val="26"/>
          <w:lang w:val="en-GB"/>
        </w:rPr>
      </w:pPr>
      <w:r w:rsidRPr="004A379E">
        <w:rPr>
          <w:rFonts w:ascii="Times New Roman" w:eastAsia="Calibri" w:hAnsi="Times New Roman"/>
          <w:bCs/>
          <w:i/>
          <w:iCs/>
          <w:sz w:val="26"/>
          <w:szCs w:val="26"/>
          <w:lang w:val="en-GB"/>
        </w:rPr>
        <w:t>(</w:t>
      </w:r>
      <w:bookmarkStart w:id="1" w:name="_Hlk175380602"/>
      <w:r w:rsidR="001217D9">
        <w:rPr>
          <w:rFonts w:ascii="Times New Roman" w:eastAsia="Calibri" w:hAnsi="Times New Roman"/>
          <w:bCs/>
          <w:i/>
          <w:iCs/>
          <w:sz w:val="26"/>
          <w:szCs w:val="26"/>
          <w:lang w:val="en-GB"/>
        </w:rPr>
        <w:t>Phục vụ</w:t>
      </w:r>
      <w:bookmarkEnd w:id="1"/>
      <w:r w:rsidRPr="004A379E">
        <w:rPr>
          <w:rFonts w:ascii="Times New Roman" w:eastAsia="Calibri" w:hAnsi="Times New Roman"/>
          <w:bCs/>
          <w:i/>
          <w:iCs/>
          <w:sz w:val="26"/>
          <w:szCs w:val="26"/>
          <w:lang w:val="en-GB"/>
        </w:rPr>
        <w:t xml:space="preserve"> Hội nghị đại biểu Quốc hội hoạt động chuyên trách)</w:t>
      </w:r>
    </w:p>
    <w:p w14:paraId="2163409B" w14:textId="77777777" w:rsidR="008A3505" w:rsidRPr="0035203F" w:rsidRDefault="000935E6" w:rsidP="008A3505">
      <w:pPr>
        <w:pStyle w:val="BodyText"/>
        <w:spacing w:before="60" w:after="60" w:line="240" w:lineRule="auto"/>
        <w:ind w:firstLine="720"/>
        <w:rPr>
          <w:b/>
          <w:lang w:val="vi-VN"/>
        </w:rPr>
      </w:pPr>
      <w:r w:rsidRPr="0035203F">
        <w:rPr>
          <w:noProof/>
        </w:rPr>
        <mc:AlternateContent>
          <mc:Choice Requires="wps">
            <w:drawing>
              <wp:anchor distT="4294967295" distB="4294967295" distL="114300" distR="114300" simplePos="0" relativeHeight="251659264" behindDoc="0" locked="0" layoutInCell="1" allowOverlap="1" wp14:anchorId="473F3AFF" wp14:editId="5FC73129">
                <wp:simplePos x="0" y="0"/>
                <wp:positionH relativeFrom="column">
                  <wp:posOffset>2212975</wp:posOffset>
                </wp:positionH>
                <wp:positionV relativeFrom="paragraph">
                  <wp:posOffset>96519</wp:posOffset>
                </wp:positionV>
                <wp:extent cx="1422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AFEE5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5pt,7.6pt" to="28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">
                <o:lock v:ext="edit" shapetype="f"/>
              </v:line>
            </w:pict>
          </mc:Fallback>
        </mc:AlternateContent>
      </w:r>
    </w:p>
    <w:p w14:paraId="77B24B28" w14:textId="2AC749DF" w:rsidR="008A3505" w:rsidRPr="00B02BDE" w:rsidRDefault="008A3505" w:rsidP="00831F72">
      <w:pPr>
        <w:widowControl w:val="0"/>
        <w:spacing w:before="120" w:after="240" w:line="240" w:lineRule="auto"/>
        <w:jc w:val="center"/>
        <w:rPr>
          <w:rFonts w:ascii="Times New Roman" w:hAnsi="Times New Roman"/>
          <w:bCs/>
          <w:noProof/>
          <w:sz w:val="28"/>
          <w:szCs w:val="28"/>
        </w:rPr>
      </w:pPr>
      <w:r w:rsidRPr="0035203F">
        <w:rPr>
          <w:rFonts w:ascii="Times New Roman" w:hAnsi="Times New Roman"/>
          <w:bCs/>
          <w:noProof/>
          <w:sz w:val="28"/>
          <w:szCs w:val="28"/>
          <w:lang w:val="vi-VN"/>
        </w:rPr>
        <w:t xml:space="preserve">Kính gửi: </w:t>
      </w:r>
      <w:r w:rsidR="004A379E">
        <w:rPr>
          <w:rFonts w:ascii="Times New Roman" w:hAnsi="Times New Roman"/>
          <w:bCs/>
          <w:noProof/>
          <w:sz w:val="28"/>
          <w:szCs w:val="28"/>
        </w:rPr>
        <w:t>C</w:t>
      </w:r>
      <w:r w:rsidR="00B02BDE">
        <w:rPr>
          <w:rFonts w:ascii="Times New Roman" w:hAnsi="Times New Roman"/>
          <w:bCs/>
          <w:noProof/>
          <w:sz w:val="28"/>
          <w:szCs w:val="28"/>
        </w:rPr>
        <w:t>ác vị đại biểu Quốc hội</w:t>
      </w:r>
    </w:p>
    <w:p w14:paraId="0DFA2E01" w14:textId="708544FF" w:rsidR="006C33DE" w:rsidRPr="0035203F" w:rsidRDefault="00D37752" w:rsidP="00FE0F41">
      <w:pPr>
        <w:pStyle w:val="BodyText"/>
        <w:spacing w:before="100" w:line="240" w:lineRule="auto"/>
        <w:ind w:firstLine="567"/>
        <w:rPr>
          <w:noProof/>
        </w:rPr>
      </w:pPr>
      <w:r w:rsidRPr="0035203F">
        <w:rPr>
          <w:noProof/>
        </w:rPr>
        <w:t xml:space="preserve">Ngày </w:t>
      </w:r>
      <w:r w:rsidR="00F754F7">
        <w:rPr>
          <w:noProof/>
        </w:rPr>
        <w:t>26</w:t>
      </w:r>
      <w:r w:rsidRPr="0035203F">
        <w:rPr>
          <w:noProof/>
        </w:rPr>
        <w:t>/8/20</w:t>
      </w:r>
      <w:r w:rsidR="00D24C4A" w:rsidRPr="0035203F">
        <w:rPr>
          <w:noProof/>
        </w:rPr>
        <w:t>24</w:t>
      </w:r>
      <w:r w:rsidRPr="0035203F">
        <w:rPr>
          <w:noProof/>
        </w:rPr>
        <w:t>, Thường trực Ủy ban Khoa học, Công nghệ và Môi trường (KH,CN&amp;MT) đã có Báo cáo</w:t>
      </w:r>
      <w:r w:rsidR="00407E3D" w:rsidRPr="0035203F">
        <w:rPr>
          <w:noProof/>
        </w:rPr>
        <w:t xml:space="preserve"> đầy đủ</w:t>
      </w:r>
      <w:r w:rsidRPr="0035203F">
        <w:rPr>
          <w:noProof/>
        </w:rPr>
        <w:t xml:space="preserve"> số </w:t>
      </w:r>
      <w:r w:rsidR="00F754F7">
        <w:rPr>
          <w:noProof/>
        </w:rPr>
        <w:t>2799</w:t>
      </w:r>
      <w:r w:rsidRPr="0035203F">
        <w:rPr>
          <w:noProof/>
        </w:rPr>
        <w:t xml:space="preserve">/BC-UBKHCNMT15 về một số vấn đề lớn về việc giải trình, tiếp thu, chỉnh lý dự thảo Luật </w:t>
      </w:r>
      <w:r w:rsidR="00D24C4A" w:rsidRPr="0035203F">
        <w:rPr>
          <w:noProof/>
        </w:rPr>
        <w:t>Địa chất và Khoáng sản (ĐC&amp;KS)</w:t>
      </w:r>
      <w:r w:rsidRPr="0035203F">
        <w:rPr>
          <w:noProof/>
        </w:rPr>
        <w:t>. Thường trực Ủy ban KH,CN&amp;MT xin báo cáo tóm tắt như sau:</w:t>
      </w:r>
    </w:p>
    <w:p w14:paraId="69FFE1BC" w14:textId="77777777" w:rsidR="00AE240F" w:rsidRPr="0035203F" w:rsidRDefault="00AE240F" w:rsidP="00FE0F41">
      <w:pPr>
        <w:pStyle w:val="Heading1"/>
        <w:keepNext w:val="0"/>
        <w:widowControl w:val="0"/>
        <w:numPr>
          <w:ilvl w:val="0"/>
          <w:numId w:val="4"/>
        </w:numPr>
        <w:tabs>
          <w:tab w:val="num" w:pos="360"/>
          <w:tab w:val="left" w:pos="851"/>
        </w:tabs>
        <w:spacing w:before="100" w:after="0"/>
        <w:ind w:left="0" w:firstLine="567"/>
        <w:jc w:val="both"/>
        <w:rPr>
          <w:rFonts w:ascii="Times New Roman" w:hAnsi="Times New Roman" w:cs="Times New Roman"/>
          <w:sz w:val="28"/>
          <w:szCs w:val="28"/>
        </w:rPr>
      </w:pPr>
      <w:r w:rsidRPr="0035203F">
        <w:rPr>
          <w:rFonts w:ascii="Times New Roman" w:hAnsi="Times New Roman" w:cs="Times New Roman"/>
          <w:sz w:val="28"/>
          <w:szCs w:val="28"/>
        </w:rPr>
        <w:t xml:space="preserve">Về phạm vi điều chỉnh của dự thảo Luật (Điều 1) </w:t>
      </w:r>
    </w:p>
    <w:p w14:paraId="573CE7C2" w14:textId="77777777" w:rsidR="00C63F37" w:rsidRPr="0035203F" w:rsidRDefault="00C63F37" w:rsidP="00FE0F41">
      <w:pPr>
        <w:pStyle w:val="BodyText"/>
        <w:widowControl w:val="0"/>
        <w:tabs>
          <w:tab w:val="left" w:pos="851"/>
        </w:tabs>
        <w:spacing w:before="100" w:line="240" w:lineRule="auto"/>
        <w:ind w:firstLine="567"/>
        <w:rPr>
          <w:bCs w:val="0"/>
          <w:i/>
        </w:rPr>
      </w:pPr>
      <w:r w:rsidRPr="0035203F">
        <w:rPr>
          <w:bCs w:val="0"/>
          <w:i/>
        </w:rPr>
        <w:t xml:space="preserve">- Có ý kiến đề nghị rà soát phạm vi điều chỉnh đối với hoạt động chế biến khoáng sản để không tạo khoảng trống pháp luật, nhất là đối với hoạt động chế biến khoáng sản độc lập mà không gắn với dự án đầu tư khai thác khoáng sản. </w:t>
      </w:r>
    </w:p>
    <w:p w14:paraId="4AC4B922" w14:textId="39E95077" w:rsidR="00C63F37" w:rsidRPr="0035203F" w:rsidRDefault="00C63F37" w:rsidP="00FE0F41">
      <w:pPr>
        <w:pStyle w:val="BodyText"/>
        <w:widowControl w:val="0"/>
        <w:tabs>
          <w:tab w:val="left" w:pos="851"/>
        </w:tabs>
        <w:spacing w:before="100" w:line="240" w:lineRule="auto"/>
        <w:ind w:firstLine="567"/>
        <w:rPr>
          <w:bCs w:val="0"/>
          <w:i/>
        </w:rPr>
      </w:pPr>
      <w:r w:rsidRPr="0035203F">
        <w:rPr>
          <w:spacing w:val="-2"/>
        </w:rPr>
        <w:t xml:space="preserve">Thường trực Ủy ban </w:t>
      </w:r>
      <w:proofErr w:type="gramStart"/>
      <w:r w:rsidRPr="0035203F">
        <w:rPr>
          <w:spacing w:val="-2"/>
        </w:rPr>
        <w:t>KH,CN</w:t>
      </w:r>
      <w:proofErr w:type="gramEnd"/>
      <w:r w:rsidRPr="0035203F">
        <w:rPr>
          <w:spacing w:val="-2"/>
        </w:rPr>
        <w:t xml:space="preserve">&amp;MT xin báo cáo: </w:t>
      </w:r>
      <w:r w:rsidR="008949A2" w:rsidRPr="0035203F">
        <w:rPr>
          <w:spacing w:val="-2"/>
        </w:rPr>
        <w:t>K</w:t>
      </w:r>
      <w:r w:rsidRPr="0035203F">
        <w:rPr>
          <w:spacing w:val="-2"/>
        </w:rPr>
        <w:t xml:space="preserve">hoáng sản sau khi khai thác </w:t>
      </w:r>
      <w:r w:rsidRPr="0035203F">
        <w:rPr>
          <w:i/>
          <w:spacing w:val="-2"/>
        </w:rPr>
        <w:t>(khoáng sản nguyên khai)</w:t>
      </w:r>
      <w:r w:rsidRPr="0035203F">
        <w:rPr>
          <w:spacing w:val="-2"/>
        </w:rPr>
        <w:t xml:space="preserve"> đã chuyển từ sở hữu toàn dân </w:t>
      </w:r>
      <w:r w:rsidRPr="0035203F">
        <w:rPr>
          <w:i/>
          <w:spacing w:val="-2"/>
        </w:rPr>
        <w:t>(sở hữu nhà nước)</w:t>
      </w:r>
      <w:r w:rsidRPr="0035203F">
        <w:rPr>
          <w:spacing w:val="-2"/>
        </w:rPr>
        <w:t xml:space="preserve"> sang sở hữu của tổ chức, cá nhân được phép khai thác khoáng sản và trở thành hàng hoá. Theo đó, các chế định pháp lý liên quan đến sử dụng khoáng sản nguyên khai để chế biến, hoặc tiêu thụ, kinh doanh khoáng sản được điều chỉnh bởi quy định của pháp luật về đầu tư, thương mại và pháp luật khác có liên quan. </w:t>
      </w:r>
      <w:r w:rsidRPr="0035203F">
        <w:rPr>
          <w:i/>
          <w:spacing w:val="-2"/>
        </w:rPr>
        <w:t>Hoạt động chế biến khoáng sản không gắn với dự án đầu tư để cấp giấy phép khai thác khoáng sản hoặc giấy xác nhận đăng ký khai thác khoáng sản không thuộc phạm vi điều chỉnh của Luật này.</w:t>
      </w:r>
      <w:r w:rsidRPr="0035203F">
        <w:rPr>
          <w:spacing w:val="-2"/>
        </w:rPr>
        <w:t xml:space="preserve"> </w:t>
      </w:r>
    </w:p>
    <w:p w14:paraId="310B7A94" w14:textId="3B9FD52A" w:rsidR="00C63F37" w:rsidRPr="0035203F" w:rsidRDefault="00C63F37" w:rsidP="00FE0F41">
      <w:pPr>
        <w:pStyle w:val="BodyText"/>
        <w:widowControl w:val="0"/>
        <w:tabs>
          <w:tab w:val="left" w:pos="851"/>
        </w:tabs>
        <w:spacing w:before="100" w:line="240" w:lineRule="auto"/>
        <w:ind w:firstLine="567"/>
        <w:rPr>
          <w:bCs w:val="0"/>
          <w:i/>
        </w:rPr>
      </w:pPr>
      <w:r w:rsidRPr="0035203F">
        <w:rPr>
          <w:bCs w:val="0"/>
          <w:i/>
        </w:rPr>
        <w:t>- Có ý kiến cho rằng cần xử lý mối quan hệ giữa dự án Luật Địa chất và Khoáng sản với các luật chuyên ngành có điều chỉnh nội dung về chế biến khoáng sản.</w:t>
      </w:r>
      <w:r w:rsidR="00495E22" w:rsidRPr="0035203F">
        <w:rPr>
          <w:bCs w:val="0"/>
          <w:i/>
        </w:rPr>
        <w:t xml:space="preserve"> </w:t>
      </w:r>
    </w:p>
    <w:p w14:paraId="7C3736C4" w14:textId="512271B4" w:rsidR="00AE240F" w:rsidRPr="0035203F" w:rsidRDefault="00C63F37" w:rsidP="00FE0F41">
      <w:pPr>
        <w:pStyle w:val="BodyText"/>
        <w:widowControl w:val="0"/>
        <w:tabs>
          <w:tab w:val="left" w:pos="851"/>
        </w:tabs>
        <w:spacing w:before="100" w:line="240" w:lineRule="auto"/>
        <w:ind w:firstLine="567"/>
        <w:rPr>
          <w:bCs w:val="0"/>
          <w:iCs/>
        </w:rPr>
      </w:pPr>
      <w:r w:rsidRPr="0035203F">
        <w:t xml:space="preserve">Thường trực Ủy ban </w:t>
      </w:r>
      <w:proofErr w:type="gramStart"/>
      <w:r w:rsidRPr="0035203F">
        <w:t>KH,CN</w:t>
      </w:r>
      <w:proofErr w:type="gramEnd"/>
      <w:r w:rsidRPr="0035203F">
        <w:t xml:space="preserve">&amp;MT xin báo cáo: Cơ quan chủ trì soạn thảo cùng Cơ quan </w:t>
      </w:r>
      <w:r w:rsidR="002511C8" w:rsidRPr="0035203F">
        <w:t xml:space="preserve">chủ trì </w:t>
      </w:r>
      <w:r w:rsidRPr="0035203F">
        <w:t xml:space="preserve">thẩm tra đã tiến hành rà soát </w:t>
      </w:r>
      <w:r w:rsidRPr="0035203F">
        <w:rPr>
          <w:b/>
        </w:rPr>
        <w:t>46</w:t>
      </w:r>
      <w:r w:rsidRPr="0035203F">
        <w:t xml:space="preserve"> Luật có liên quan, trong đó có các Luật: Đầu tư, Doanh nghiệp, Thương mại, Quy hoạch, Xây dựng… Kết quả rà soát cho thấy không có sự chồng chéo về phạm vi quản lý</w:t>
      </w:r>
      <w:r w:rsidR="002511C8" w:rsidRPr="0035203F">
        <w:t xml:space="preserve"> về</w:t>
      </w:r>
      <w:r w:rsidRPr="0035203F">
        <w:t xml:space="preserve"> chế biến khoáng sản.</w:t>
      </w:r>
    </w:p>
    <w:p w14:paraId="6D3CECD8" w14:textId="77777777" w:rsidR="00AE240F" w:rsidRPr="0035203F" w:rsidRDefault="00AE240F" w:rsidP="00FE0F41">
      <w:pPr>
        <w:pStyle w:val="Heading1"/>
        <w:keepNext w:val="0"/>
        <w:widowControl w:val="0"/>
        <w:numPr>
          <w:ilvl w:val="0"/>
          <w:numId w:val="4"/>
        </w:numPr>
        <w:tabs>
          <w:tab w:val="num" w:pos="360"/>
          <w:tab w:val="left" w:pos="851"/>
        </w:tabs>
        <w:spacing w:before="100" w:after="0"/>
        <w:ind w:left="0" w:firstLine="567"/>
        <w:jc w:val="both"/>
        <w:rPr>
          <w:rFonts w:ascii="Times New Roman" w:hAnsi="Times New Roman" w:cs="Times New Roman"/>
          <w:sz w:val="28"/>
          <w:szCs w:val="28"/>
        </w:rPr>
      </w:pPr>
      <w:r w:rsidRPr="0035203F">
        <w:rPr>
          <w:rFonts w:ascii="Times New Roman" w:hAnsi="Times New Roman" w:cs="Times New Roman"/>
          <w:sz w:val="28"/>
          <w:szCs w:val="28"/>
        </w:rPr>
        <w:t>Về phân nhóm khoáng sản (Điều 7)</w:t>
      </w:r>
    </w:p>
    <w:p w14:paraId="5A6A9851" w14:textId="1C09B635" w:rsidR="00C63F37" w:rsidRPr="0035203F" w:rsidRDefault="00495E22" w:rsidP="00FE0F41">
      <w:pPr>
        <w:pStyle w:val="BodyText"/>
        <w:widowControl w:val="0"/>
        <w:tabs>
          <w:tab w:val="left" w:pos="851"/>
        </w:tabs>
        <w:spacing w:before="100" w:line="240" w:lineRule="auto"/>
        <w:ind w:firstLine="567"/>
        <w:rPr>
          <w:bCs w:val="0"/>
          <w:i/>
        </w:rPr>
      </w:pPr>
      <w:r w:rsidRPr="0035203F">
        <w:rPr>
          <w:bCs w:val="0"/>
          <w:i/>
        </w:rPr>
        <w:t>- Có ý kiến đề nghị</w:t>
      </w:r>
      <w:r w:rsidR="00C63F37" w:rsidRPr="0035203F">
        <w:rPr>
          <w:bCs w:val="0"/>
          <w:i/>
        </w:rPr>
        <w:t xml:space="preserve"> phân định rõ các loại khoáng sản cụ thể theo công dụng để bảo đảm sự thống nhất, hiệu quả trong quản lý và tháo gỡ khó khăn trong khai thác khoáng sản làm vật liệu san lấp hiện nay; đề nghị quy định cụ thể danh mục khoáng sản theo nhóm kèm theo dự thảo Luật.</w:t>
      </w:r>
    </w:p>
    <w:p w14:paraId="61F6F6E5" w14:textId="762D5F4E" w:rsidR="00C63F37" w:rsidRPr="0035203F" w:rsidRDefault="00C63F37" w:rsidP="00FE0F41">
      <w:pPr>
        <w:pStyle w:val="BodyText"/>
        <w:widowControl w:val="0"/>
        <w:tabs>
          <w:tab w:val="left" w:pos="851"/>
        </w:tabs>
        <w:spacing w:before="100" w:line="240" w:lineRule="auto"/>
        <w:ind w:firstLine="567"/>
        <w:rPr>
          <w:bCs w:val="0"/>
          <w:i/>
        </w:rPr>
      </w:pPr>
      <w:r w:rsidRPr="0035203F">
        <w:t xml:space="preserve">Thường trực Ủy ban </w:t>
      </w:r>
      <w:proofErr w:type="gramStart"/>
      <w:r w:rsidRPr="0035203F">
        <w:t>KH,CN</w:t>
      </w:r>
      <w:proofErr w:type="gramEnd"/>
      <w:r w:rsidRPr="0035203F">
        <w:t xml:space="preserve">&amp;MT xin báo cáo: </w:t>
      </w:r>
      <w:r w:rsidR="00B57388" w:rsidRPr="0035203F">
        <w:t>K</w:t>
      </w:r>
      <w:r w:rsidRPr="0035203F">
        <w:t>hoản 1 Điều 7 đã quy định phân nhóm khoáng sản mang tính nguyên tắc dựa trên công dụng và mục đích quản lý</w:t>
      </w:r>
      <w:r w:rsidR="00B57388" w:rsidRPr="0035203F">
        <w:t xml:space="preserve">; </w:t>
      </w:r>
      <w:r w:rsidRPr="0035203F">
        <w:rPr>
          <w:spacing w:val="-2"/>
        </w:rPr>
        <w:t xml:space="preserve">khoản </w:t>
      </w:r>
      <w:r w:rsidR="00521EAB">
        <w:rPr>
          <w:spacing w:val="-2"/>
        </w:rPr>
        <w:t>2</w:t>
      </w:r>
      <w:r w:rsidRPr="0035203F">
        <w:rPr>
          <w:spacing w:val="-2"/>
        </w:rPr>
        <w:t xml:space="preserve"> Điều 7 đã giao Chính phủ quy định chi tiết Điều này. Theo đó, Chính phủ </w:t>
      </w:r>
      <w:r w:rsidRPr="0035203F">
        <w:rPr>
          <w:spacing w:val="-2"/>
        </w:rPr>
        <w:lastRenderedPageBreak/>
        <w:t xml:space="preserve">sẽ xây dựng danh mục </w:t>
      </w:r>
      <w:r w:rsidRPr="0035203F">
        <w:t>k</w:t>
      </w:r>
      <w:r w:rsidRPr="0035203F">
        <w:rPr>
          <w:lang w:val="vi-VN"/>
        </w:rPr>
        <w:t>hoáng sản nhóm I</w:t>
      </w:r>
      <w:r w:rsidRPr="0035203F">
        <w:t>, k</w:t>
      </w:r>
      <w:r w:rsidRPr="0035203F">
        <w:rPr>
          <w:lang w:val="vi-VN"/>
        </w:rPr>
        <w:t>hoáng sản nhóm II</w:t>
      </w:r>
      <w:r w:rsidRPr="0035203F">
        <w:t>, k</w:t>
      </w:r>
      <w:r w:rsidRPr="0035203F">
        <w:rPr>
          <w:lang w:val="vi-VN"/>
        </w:rPr>
        <w:t>hoáng sản nhóm III</w:t>
      </w:r>
      <w:r w:rsidRPr="0035203F">
        <w:t xml:space="preserve"> trong Nghị định hướng dẫn chi tiết. </w:t>
      </w:r>
      <w:r w:rsidR="00B57388" w:rsidRPr="0035203F">
        <w:t>L</w:t>
      </w:r>
      <w:r w:rsidRPr="0035203F">
        <w:t xml:space="preserve">iên quan đến </w:t>
      </w:r>
      <w:r w:rsidRPr="0035203F">
        <w:rPr>
          <w:bCs w:val="0"/>
        </w:rPr>
        <w:t>khoáng sản làm vật liệu san lấp, dự thảo Luật đã quy định là khoáng sản nhóm IV và được thực hiện theo thủ tục hành chính đơn giản, quy định tại Mục 4 Chương VI.</w:t>
      </w:r>
    </w:p>
    <w:p w14:paraId="1105A4FF" w14:textId="31F6D618" w:rsidR="00C63F37" w:rsidRPr="0035203F" w:rsidRDefault="00C63F37" w:rsidP="00FE0F41">
      <w:pPr>
        <w:pStyle w:val="BodyText"/>
        <w:widowControl w:val="0"/>
        <w:tabs>
          <w:tab w:val="left" w:pos="851"/>
        </w:tabs>
        <w:spacing w:before="100" w:line="240" w:lineRule="auto"/>
        <w:ind w:firstLine="567"/>
        <w:rPr>
          <w:bCs w:val="0"/>
          <w:i/>
        </w:rPr>
      </w:pPr>
      <w:r w:rsidRPr="0035203F">
        <w:rPr>
          <w:bCs w:val="0"/>
          <w:i/>
        </w:rPr>
        <w:t xml:space="preserve">- Có ý kiến đề nghị </w:t>
      </w:r>
      <w:r w:rsidR="00B57388" w:rsidRPr="0035203F">
        <w:rPr>
          <w:bCs w:val="0"/>
          <w:i/>
        </w:rPr>
        <w:t xml:space="preserve">làm rõ </w:t>
      </w:r>
      <w:r w:rsidRPr="0035203F">
        <w:rPr>
          <w:bCs w:val="0"/>
          <w:i/>
        </w:rPr>
        <w:t xml:space="preserve">loại khoáng sản làm vật liệu thông thường nhóm III là khoáng sản cụ thể nào, đất hiếm là khoáng sản thuộc nhóm nào; đề nghị bổ sung đất hiếm vào nhóm I. Một số ý kiến băn khoăn về sự lẫn lộn giữa </w:t>
      </w:r>
      <w:r w:rsidR="00B57388" w:rsidRPr="0035203F">
        <w:rPr>
          <w:bCs w:val="0"/>
          <w:i/>
        </w:rPr>
        <w:t xml:space="preserve">các </w:t>
      </w:r>
      <w:r w:rsidRPr="0035203F">
        <w:rPr>
          <w:bCs w:val="0"/>
          <w:i/>
        </w:rPr>
        <w:t xml:space="preserve">nhóm </w:t>
      </w:r>
      <w:r w:rsidR="00B57388" w:rsidRPr="0035203F">
        <w:rPr>
          <w:bCs w:val="0"/>
          <w:i/>
        </w:rPr>
        <w:t>khoáng sản</w:t>
      </w:r>
      <w:r w:rsidRPr="0035203F">
        <w:rPr>
          <w:bCs w:val="0"/>
          <w:i/>
        </w:rPr>
        <w:t>, đề nghị quy định phân nhóm đối với khoáng sản có nhiều mục đích sử dụng.</w:t>
      </w:r>
    </w:p>
    <w:p w14:paraId="47B8121F" w14:textId="77A18E1D" w:rsidR="00C63F37" w:rsidRPr="0035203F" w:rsidRDefault="00C63F37" w:rsidP="00FE0F41">
      <w:pPr>
        <w:pStyle w:val="BodyText"/>
        <w:widowControl w:val="0"/>
        <w:tabs>
          <w:tab w:val="left" w:pos="851"/>
        </w:tabs>
        <w:spacing w:before="100" w:line="240" w:lineRule="auto"/>
        <w:ind w:firstLine="567"/>
        <w:rPr>
          <w:bCs w:val="0"/>
          <w:i/>
        </w:rPr>
      </w:pPr>
      <w:r w:rsidRPr="0035203F">
        <w:rPr>
          <w:b/>
        </w:rPr>
        <w:t>Tiếp thu</w:t>
      </w:r>
      <w:r w:rsidRPr="0035203F">
        <w:t xml:space="preserve"> ý kiến ĐBQH, tại khoản 2 Điều 7 đã quy định giao Chính phủ quy định danh mục khoáng sản theo nhóm; quy định việc phân nhóm đối với khoáng sản có nhiều mục đích sử dụng. </w:t>
      </w:r>
      <w:r w:rsidRPr="0035203F">
        <w:rPr>
          <w:spacing w:val="-2"/>
        </w:rPr>
        <w:t xml:space="preserve">Theo </w:t>
      </w:r>
      <w:r w:rsidR="00B57388" w:rsidRPr="0035203F">
        <w:rPr>
          <w:spacing w:val="-2"/>
        </w:rPr>
        <w:t xml:space="preserve">đó, </w:t>
      </w:r>
      <w:r w:rsidRPr="0035203F">
        <w:rPr>
          <w:spacing w:val="-2"/>
        </w:rPr>
        <w:t xml:space="preserve">dự thảo Nghị định của Chính phủ </w:t>
      </w:r>
      <w:r w:rsidR="00B57388" w:rsidRPr="0035203F">
        <w:rPr>
          <w:spacing w:val="-2"/>
        </w:rPr>
        <w:t xml:space="preserve">sẽ </w:t>
      </w:r>
      <w:r w:rsidRPr="0035203F">
        <w:rPr>
          <w:spacing w:val="-2"/>
        </w:rPr>
        <w:t>quy định danh mục khoáng sản theo từng nhóm và sẽ rà soát, bổ sung đất hiếm thuộc khoáng sản nhóm I</w:t>
      </w:r>
      <w:r w:rsidR="00F754F7">
        <w:rPr>
          <w:spacing w:val="-2"/>
        </w:rPr>
        <w:t>,</w:t>
      </w:r>
      <w:r w:rsidRPr="0035203F">
        <w:rPr>
          <w:spacing w:val="-2"/>
        </w:rPr>
        <w:t xml:space="preserve"> </w:t>
      </w:r>
      <w:r w:rsidR="00B57388" w:rsidRPr="0035203F">
        <w:rPr>
          <w:spacing w:val="-2"/>
        </w:rPr>
        <w:t xml:space="preserve">nêu cụ thể </w:t>
      </w:r>
      <w:r w:rsidRPr="0035203F">
        <w:rPr>
          <w:spacing w:val="-2"/>
        </w:rPr>
        <w:t>các khoáng sản nhóm III trong danh mục này. Do vậy, sẽ bảo đảm không có sự lẫn lộn giữa các nhóm khoáng sản.</w:t>
      </w:r>
    </w:p>
    <w:p w14:paraId="15410AFD" w14:textId="2FD78E8E" w:rsidR="00C63F37" w:rsidRPr="0035203F" w:rsidRDefault="00C63F37" w:rsidP="00FE0F41">
      <w:pPr>
        <w:pStyle w:val="BodyText"/>
        <w:widowControl w:val="0"/>
        <w:tabs>
          <w:tab w:val="left" w:pos="851"/>
        </w:tabs>
        <w:spacing w:before="100" w:line="240" w:lineRule="auto"/>
        <w:ind w:firstLine="567"/>
        <w:rPr>
          <w:bCs w:val="0"/>
          <w:i/>
        </w:rPr>
      </w:pPr>
      <w:r w:rsidRPr="0035203F">
        <w:rPr>
          <w:bCs w:val="0"/>
          <w:i/>
        </w:rPr>
        <w:t>- Có ý kiến đề nghị cần xem lại quy định xếp nước khoáng chung nhóm khoáng sản với kim loại quý, đá quý (khoáng sản nhóm I) để tạo điều kiện cho người dân khai thác nguồn nước nóng thiên nhiên thu hút du lịch.</w:t>
      </w:r>
    </w:p>
    <w:p w14:paraId="7B4F5842" w14:textId="77777777" w:rsidR="00C63F37" w:rsidRPr="0035203F" w:rsidRDefault="00C63F37" w:rsidP="00FE0F41">
      <w:pPr>
        <w:pStyle w:val="BodyText"/>
        <w:widowControl w:val="0"/>
        <w:tabs>
          <w:tab w:val="left" w:pos="851"/>
        </w:tabs>
        <w:spacing w:before="100" w:line="240" w:lineRule="auto"/>
        <w:ind w:firstLine="567"/>
      </w:pPr>
      <w:r w:rsidRPr="0035203F">
        <w:rPr>
          <w:b/>
        </w:rPr>
        <w:t>Tiếp thu</w:t>
      </w:r>
      <w:r w:rsidRPr="0035203F">
        <w:t xml:space="preserve"> ý kiến ĐBQH, khoáng sản là nước khoáng, nước nóng thiên nhiên đã được quy định là khoáng sản nhóm III trong dự thảo Luật.</w:t>
      </w:r>
    </w:p>
    <w:p w14:paraId="61A0B5CF" w14:textId="250E8D08" w:rsidR="00C63F37" w:rsidRPr="00410024" w:rsidRDefault="00C63F37" w:rsidP="00FE0F41">
      <w:pPr>
        <w:pStyle w:val="BodyText"/>
        <w:tabs>
          <w:tab w:val="left" w:pos="851"/>
        </w:tabs>
        <w:spacing w:before="100" w:line="240" w:lineRule="auto"/>
        <w:ind w:firstLine="567"/>
        <w:rPr>
          <w:rFonts w:ascii="Times New Roman Italic" w:hAnsi="Times New Roman Italic"/>
          <w:bCs w:val="0"/>
          <w:i/>
          <w:spacing w:val="3"/>
        </w:rPr>
      </w:pPr>
      <w:r w:rsidRPr="00410024">
        <w:rPr>
          <w:rFonts w:ascii="Times New Roman Italic" w:hAnsi="Times New Roman Italic"/>
          <w:bCs w:val="0"/>
          <w:i/>
          <w:spacing w:val="3"/>
        </w:rPr>
        <w:t xml:space="preserve">- Có ý kiến đề nghị xây dựng nhóm khoáng sản đặc thù bô xít, titan và có chính sách riêng phù hợp với điều kiện hiện nay; các loại khoáng sản </w:t>
      </w:r>
      <w:r w:rsidR="004074CD" w:rsidRPr="00410024">
        <w:rPr>
          <w:rFonts w:ascii="Times New Roman Italic" w:hAnsi="Times New Roman Italic"/>
          <w:bCs w:val="0"/>
          <w:i/>
          <w:spacing w:val="3"/>
        </w:rPr>
        <w:t>này</w:t>
      </w:r>
      <w:r w:rsidRPr="00410024">
        <w:rPr>
          <w:rFonts w:ascii="Times New Roman Italic" w:hAnsi="Times New Roman Italic"/>
          <w:bCs w:val="0"/>
          <w:i/>
          <w:spacing w:val="3"/>
        </w:rPr>
        <w:t xml:space="preserve"> phân bố quá rộng nên phải dừng các dự án, dẫn đến địa phương không có cơ hội để phát triển.</w:t>
      </w:r>
    </w:p>
    <w:p w14:paraId="51D59398" w14:textId="5B6C1EBB" w:rsidR="00C63F37" w:rsidRPr="0035203F" w:rsidRDefault="00C63F37" w:rsidP="00FE0F41">
      <w:pPr>
        <w:pStyle w:val="BodyText"/>
        <w:widowControl w:val="0"/>
        <w:tabs>
          <w:tab w:val="left" w:pos="851"/>
        </w:tabs>
        <w:spacing w:before="100" w:line="240" w:lineRule="auto"/>
        <w:ind w:firstLine="567"/>
        <w:rPr>
          <w:spacing w:val="-2"/>
        </w:rPr>
      </w:pPr>
      <w:r w:rsidRPr="0035203F">
        <w:rPr>
          <w:spacing w:val="-2"/>
        </w:rPr>
        <w:t xml:space="preserve">Về nội dung này, Thường trực Ủy ban </w:t>
      </w:r>
      <w:proofErr w:type="gramStart"/>
      <w:r w:rsidRPr="0035203F">
        <w:rPr>
          <w:spacing w:val="-2"/>
        </w:rPr>
        <w:t>KH,CN</w:t>
      </w:r>
      <w:proofErr w:type="gramEnd"/>
      <w:r w:rsidRPr="0035203F">
        <w:rPr>
          <w:spacing w:val="-2"/>
        </w:rPr>
        <w:t>&amp;MT xin báo cáo: Các khó khăn, vướng mắc về mặt pháp luật như ĐBQH nêu liên quan đến không chỉ ở Luật Khoáng sản mà còn ở Luật Đất đai, Luật Quy hoạch… quy định về khoanh định khu vực dự trữ khoáng sản quốc gia, quy hoạch khoáng sản, sử dụng đất kết hợp đa mục đích, sử dụng đất sau khai thác. Để góp phần tháo gỡ những vướng mắc, dự thảo Luật đã có các quy định về điều chỉnh quy hoạch (Điều 16); thực hiện dự án trong khu vực dự trữ khoáng sản quốc gia (Điều 36); sử dụng đất sau khai thác (Điều 84 và Điều 85). Luật Đất đai đã có quy định về sử dụng đất đa mục đích trong hoạt động khoáng sản (Điều 9 và</w:t>
      </w:r>
      <w:r w:rsidR="004074CD" w:rsidRPr="0035203F">
        <w:rPr>
          <w:spacing w:val="-2"/>
        </w:rPr>
        <w:t xml:space="preserve"> Điều 218) và</w:t>
      </w:r>
      <w:r w:rsidRPr="0035203F">
        <w:rPr>
          <w:spacing w:val="-2"/>
        </w:rPr>
        <w:t xml:space="preserve"> Điều 38 của dự thảo Luật đã quy định việc sử dụng đất trong hoạt động khoáng sản được thực hiện theo pháp luật về đất đai. </w:t>
      </w:r>
    </w:p>
    <w:p w14:paraId="4A242DF3" w14:textId="77777777" w:rsidR="00AE240F" w:rsidRPr="0035203F" w:rsidRDefault="00AE240F" w:rsidP="00FE0F41">
      <w:pPr>
        <w:pStyle w:val="Heading1"/>
        <w:keepNext w:val="0"/>
        <w:widowControl w:val="0"/>
        <w:numPr>
          <w:ilvl w:val="0"/>
          <w:numId w:val="4"/>
        </w:numPr>
        <w:tabs>
          <w:tab w:val="num" w:pos="360"/>
          <w:tab w:val="left" w:pos="851"/>
        </w:tabs>
        <w:spacing w:before="100" w:after="0"/>
        <w:ind w:left="0" w:firstLine="567"/>
        <w:jc w:val="both"/>
        <w:rPr>
          <w:rFonts w:ascii="Times New Roman" w:hAnsi="Times New Roman" w:cs="Times New Roman"/>
          <w:sz w:val="28"/>
          <w:szCs w:val="28"/>
        </w:rPr>
      </w:pPr>
      <w:r w:rsidRPr="0035203F">
        <w:rPr>
          <w:rFonts w:ascii="Times New Roman" w:hAnsi="Times New Roman" w:cs="Times New Roman"/>
          <w:sz w:val="28"/>
          <w:szCs w:val="28"/>
        </w:rPr>
        <w:t>Về quy hoạch khoáng sản</w:t>
      </w:r>
    </w:p>
    <w:p w14:paraId="6903AAD3" w14:textId="77777777" w:rsidR="00AE240F" w:rsidRPr="0035203F" w:rsidRDefault="00AE240F" w:rsidP="00FE0F41">
      <w:pPr>
        <w:pStyle w:val="Heading2"/>
        <w:keepNext w:val="0"/>
        <w:widowControl w:val="0"/>
        <w:numPr>
          <w:ilvl w:val="1"/>
          <w:numId w:val="4"/>
        </w:numPr>
        <w:tabs>
          <w:tab w:val="num" w:pos="360"/>
          <w:tab w:val="left" w:pos="1134"/>
        </w:tabs>
        <w:spacing w:before="100" w:after="0"/>
        <w:ind w:left="0" w:firstLine="567"/>
        <w:jc w:val="both"/>
        <w:rPr>
          <w:rFonts w:ascii="Times New Roman" w:hAnsi="Times New Roman"/>
        </w:rPr>
      </w:pPr>
      <w:r w:rsidRPr="0035203F">
        <w:rPr>
          <w:rFonts w:ascii="Times New Roman" w:hAnsi="Times New Roman"/>
        </w:rPr>
        <w:t>Trách nhiệm lập quy hoạch khoáng sản (Điều 15)</w:t>
      </w:r>
    </w:p>
    <w:p w14:paraId="4CBD61E7" w14:textId="665243B3" w:rsidR="00AE240F" w:rsidRPr="0035203F" w:rsidRDefault="00AE240F" w:rsidP="00FE0F41">
      <w:pPr>
        <w:pStyle w:val="BodyText"/>
        <w:widowControl w:val="0"/>
        <w:tabs>
          <w:tab w:val="left" w:pos="851"/>
        </w:tabs>
        <w:spacing w:before="100" w:line="240" w:lineRule="auto"/>
        <w:ind w:firstLine="567"/>
        <w:rPr>
          <w:bCs w:val="0"/>
          <w:i/>
        </w:rPr>
      </w:pPr>
      <w:r w:rsidRPr="0035203F">
        <w:rPr>
          <w:bCs w:val="0"/>
          <w:i/>
        </w:rPr>
        <w:t>- Có ý kiến đề nghị giao Bộ Công Thương, Bộ Xây dựng, Bộ Tài nguyên Môi trường lập các quy hoạch khoáng sản tương tự như Luật Khoáng sản hiện hành.</w:t>
      </w:r>
    </w:p>
    <w:p w14:paraId="71CE0B7F" w14:textId="4AA1A3EE" w:rsidR="00D57625" w:rsidRPr="0035203F" w:rsidRDefault="00D57625" w:rsidP="00410024">
      <w:pPr>
        <w:pStyle w:val="BodyText"/>
        <w:tabs>
          <w:tab w:val="left" w:pos="851"/>
        </w:tabs>
        <w:spacing w:before="100" w:line="240" w:lineRule="auto"/>
        <w:ind w:firstLine="567"/>
        <w:rPr>
          <w:bCs w:val="0"/>
        </w:rPr>
      </w:pPr>
      <w:r w:rsidRPr="0035203F">
        <w:rPr>
          <w:bCs w:val="0"/>
        </w:rPr>
        <w:t xml:space="preserve">Thường trực Ủy ban </w:t>
      </w:r>
      <w:proofErr w:type="gramStart"/>
      <w:r w:rsidRPr="0035203F">
        <w:rPr>
          <w:bCs w:val="0"/>
        </w:rPr>
        <w:t>KH,CN</w:t>
      </w:r>
      <w:proofErr w:type="gramEnd"/>
      <w:r w:rsidRPr="0035203F">
        <w:rPr>
          <w:bCs w:val="0"/>
        </w:rPr>
        <w:t xml:space="preserve">&amp;MT phối hợp Cơ quan chủ trì soạn thảo dự thảo nội dung Điều 15 theo </w:t>
      </w:r>
      <w:r w:rsidRPr="0035203F">
        <w:rPr>
          <w:b/>
          <w:bCs w:val="0"/>
        </w:rPr>
        <w:t xml:space="preserve">02 phương án </w:t>
      </w:r>
      <w:r w:rsidRPr="0035203F">
        <w:rPr>
          <w:bCs w:val="0"/>
        </w:rPr>
        <w:t>như sau:</w:t>
      </w:r>
    </w:p>
    <w:p w14:paraId="1A5594DC" w14:textId="77777777" w:rsidR="00410024" w:rsidRDefault="00D57625" w:rsidP="00410024">
      <w:pPr>
        <w:pStyle w:val="BodyText"/>
        <w:widowControl w:val="0"/>
        <w:tabs>
          <w:tab w:val="left" w:pos="851"/>
        </w:tabs>
        <w:spacing w:before="100" w:line="240" w:lineRule="auto"/>
        <w:ind w:firstLine="567"/>
        <w:rPr>
          <w:bCs w:val="0"/>
          <w:i/>
        </w:rPr>
      </w:pPr>
      <w:r w:rsidRPr="0035203F">
        <w:rPr>
          <w:bCs w:val="0"/>
          <w:i/>
        </w:rPr>
        <w:t>Phương án 1: Giao Bộ Tài nguyên và Môi trường lập Quy hoạch khoáng sản (phương án Chính phủ trình Quốc hội).</w:t>
      </w:r>
    </w:p>
    <w:p w14:paraId="6200E6BD" w14:textId="61C33F05" w:rsidR="00D57625" w:rsidRPr="0035203F" w:rsidRDefault="00D57625" w:rsidP="00410024">
      <w:pPr>
        <w:pStyle w:val="BodyText"/>
        <w:widowControl w:val="0"/>
        <w:tabs>
          <w:tab w:val="left" w:pos="851"/>
        </w:tabs>
        <w:spacing w:before="100" w:line="240" w:lineRule="auto"/>
        <w:ind w:firstLine="567"/>
        <w:rPr>
          <w:bCs w:val="0"/>
          <w:i/>
        </w:rPr>
      </w:pPr>
      <w:r w:rsidRPr="0035203F">
        <w:rPr>
          <w:bCs w:val="0"/>
          <w:i/>
        </w:rPr>
        <w:lastRenderedPageBreak/>
        <w:t>Phương án 2: Giao Bộ Công Thương, Bộ Xây dựng lập quy hoạch khoáng sản (giữ như quy định của Luật Khoáng sản và Luật Quy hoạch hiện hành).</w:t>
      </w:r>
    </w:p>
    <w:p w14:paraId="4B8585C8" w14:textId="5C6A1D5A" w:rsidR="00B02BDE" w:rsidRPr="00DC24C5" w:rsidRDefault="00B02BDE" w:rsidP="00FE0F41">
      <w:pPr>
        <w:widowControl w:val="0"/>
        <w:spacing w:before="100" w:after="0" w:line="240" w:lineRule="auto"/>
        <w:ind w:firstLine="567"/>
        <w:jc w:val="both"/>
        <w:rPr>
          <w:rFonts w:ascii="Times New Roman" w:hAnsi="Times New Roman"/>
          <w:b/>
          <w:iCs/>
          <w:spacing w:val="-1"/>
          <w:sz w:val="28"/>
          <w:szCs w:val="28"/>
        </w:rPr>
      </w:pPr>
      <w:r w:rsidRPr="00DC24C5">
        <w:rPr>
          <w:rFonts w:ascii="Times New Roman" w:hAnsi="Times New Roman"/>
          <w:b/>
          <w:iCs/>
          <w:spacing w:val="-1"/>
          <w:sz w:val="28"/>
          <w:szCs w:val="28"/>
        </w:rPr>
        <w:t>Ưu, nhược điểm của từng phương án như sau:</w:t>
      </w:r>
    </w:p>
    <w:p w14:paraId="6592438D" w14:textId="77777777" w:rsidR="00B02BDE" w:rsidRPr="00DC24C5" w:rsidRDefault="00D57625" w:rsidP="00FE0F41">
      <w:pPr>
        <w:widowControl w:val="0"/>
        <w:spacing w:before="100" w:after="0" w:line="240" w:lineRule="auto"/>
        <w:ind w:firstLine="567"/>
        <w:jc w:val="both"/>
        <w:rPr>
          <w:rFonts w:ascii="Times New Roman" w:hAnsi="Times New Roman"/>
          <w:b/>
          <w:i/>
          <w:iCs/>
          <w:spacing w:val="-1"/>
          <w:sz w:val="28"/>
          <w:szCs w:val="28"/>
        </w:rPr>
      </w:pPr>
      <w:r w:rsidRPr="00DC24C5">
        <w:rPr>
          <w:rFonts w:ascii="Times New Roman" w:hAnsi="Times New Roman"/>
          <w:b/>
          <w:i/>
          <w:iCs/>
          <w:spacing w:val="-1"/>
          <w:sz w:val="28"/>
          <w:szCs w:val="28"/>
        </w:rPr>
        <w:t>Về Phương án 1</w:t>
      </w:r>
    </w:p>
    <w:p w14:paraId="6630B21F" w14:textId="68632B61" w:rsidR="00DC24C5" w:rsidRPr="00DC24C5" w:rsidRDefault="00DC24C5" w:rsidP="00FE0F41">
      <w:pPr>
        <w:tabs>
          <w:tab w:val="left" w:pos="2674"/>
          <w:tab w:val="left" w:pos="4848"/>
        </w:tabs>
        <w:spacing w:before="100" w:after="0" w:line="240" w:lineRule="auto"/>
        <w:ind w:firstLine="567"/>
        <w:jc w:val="both"/>
        <w:rPr>
          <w:rFonts w:ascii="Times New Roman" w:hAnsi="Times New Roman"/>
          <w:bCs/>
          <w:spacing w:val="-2"/>
          <w:sz w:val="28"/>
          <w:szCs w:val="28"/>
        </w:rPr>
      </w:pPr>
      <w:r w:rsidRPr="00DC24C5">
        <w:rPr>
          <w:rFonts w:ascii="Times New Roman" w:hAnsi="Times New Roman"/>
          <w:bCs/>
          <w:i/>
          <w:iCs/>
          <w:sz w:val="28"/>
          <w:szCs w:val="28"/>
        </w:rPr>
        <w:t>a) Ưu điểm</w:t>
      </w:r>
      <w:r>
        <w:rPr>
          <w:rFonts w:ascii="Times New Roman" w:hAnsi="Times New Roman"/>
          <w:bCs/>
          <w:i/>
          <w:iCs/>
          <w:sz w:val="28"/>
          <w:szCs w:val="28"/>
        </w:rPr>
        <w:t xml:space="preserve">: (1) </w:t>
      </w:r>
      <w:r w:rsidRPr="00DC24C5">
        <w:rPr>
          <w:rFonts w:ascii="Times New Roman" w:hAnsi="Times New Roman"/>
          <w:bCs/>
          <w:iCs/>
          <w:spacing w:val="-2"/>
          <w:sz w:val="28"/>
          <w:szCs w:val="28"/>
        </w:rPr>
        <w:t xml:space="preserve">Tại </w:t>
      </w:r>
      <w:r w:rsidRPr="00DC24C5">
        <w:rPr>
          <w:rFonts w:ascii="Times New Roman" w:hAnsi="Times New Roman"/>
          <w:bCs/>
          <w:spacing w:val="-2"/>
          <w:sz w:val="28"/>
          <w:szCs w:val="28"/>
        </w:rPr>
        <w:t>Nghị quyết số 27-NQ/TW ngày 09/11/2022 của B</w:t>
      </w:r>
      <w:r w:rsidR="001217D9">
        <w:rPr>
          <w:rFonts w:ascii="Times New Roman" w:hAnsi="Times New Roman"/>
          <w:bCs/>
          <w:spacing w:val="-2"/>
          <w:sz w:val="28"/>
          <w:szCs w:val="28"/>
        </w:rPr>
        <w:t>CHTW Đảng</w:t>
      </w:r>
      <w:r w:rsidRPr="00DC24C5">
        <w:rPr>
          <w:rFonts w:ascii="Times New Roman" w:hAnsi="Times New Roman"/>
          <w:bCs/>
          <w:spacing w:val="-2"/>
          <w:sz w:val="28"/>
          <w:szCs w:val="28"/>
        </w:rPr>
        <w:t xml:space="preserve"> </w:t>
      </w:r>
      <w:r w:rsidR="001217D9" w:rsidRPr="00DC24C5">
        <w:rPr>
          <w:rFonts w:ascii="Times New Roman" w:hAnsi="Times New Roman"/>
          <w:bCs/>
          <w:spacing w:val="-2"/>
          <w:sz w:val="28"/>
          <w:szCs w:val="28"/>
        </w:rPr>
        <w:t xml:space="preserve">về tiếp tục xây dựng và hoàn thiện Nhà nước pháp quyền xã hội chủ nghĩa Việt Nam trong giai đoạn mới </w:t>
      </w:r>
      <w:r w:rsidRPr="00DC24C5">
        <w:rPr>
          <w:rFonts w:ascii="Times New Roman" w:hAnsi="Times New Roman"/>
          <w:bCs/>
          <w:spacing w:val="-2"/>
          <w:sz w:val="28"/>
          <w:szCs w:val="28"/>
        </w:rPr>
        <w:t>có nêu: “</w:t>
      </w:r>
      <w:r w:rsidRPr="00DC24C5">
        <w:rPr>
          <w:rFonts w:ascii="Times New Roman" w:hAnsi="Times New Roman"/>
          <w:bCs/>
          <w:i/>
          <w:spacing w:val="-2"/>
          <w:sz w:val="28"/>
          <w:szCs w:val="28"/>
        </w:rPr>
        <w:t xml:space="preserve">Thực hiện nguyên tắc </w:t>
      </w:r>
      <w:r w:rsidRPr="00DC24C5">
        <w:rPr>
          <w:rFonts w:ascii="Times New Roman" w:hAnsi="Times New Roman"/>
          <w:b/>
          <w:bCs/>
          <w:i/>
          <w:spacing w:val="-2"/>
          <w:sz w:val="28"/>
          <w:szCs w:val="28"/>
        </w:rPr>
        <w:t>một việc</w:t>
      </w:r>
      <w:r w:rsidRPr="00DC24C5">
        <w:rPr>
          <w:rFonts w:ascii="Times New Roman" w:hAnsi="Times New Roman"/>
          <w:bCs/>
          <w:i/>
          <w:spacing w:val="-2"/>
          <w:sz w:val="28"/>
          <w:szCs w:val="28"/>
        </w:rPr>
        <w:t xml:space="preserve"> chỉ </w:t>
      </w:r>
      <w:r w:rsidRPr="00DC24C5">
        <w:rPr>
          <w:rFonts w:ascii="Times New Roman" w:hAnsi="Times New Roman"/>
          <w:b/>
          <w:bCs/>
          <w:i/>
          <w:spacing w:val="-2"/>
          <w:sz w:val="28"/>
          <w:szCs w:val="28"/>
        </w:rPr>
        <w:t>giao cho</w:t>
      </w:r>
      <w:r w:rsidRPr="00DC24C5">
        <w:rPr>
          <w:rFonts w:ascii="Times New Roman" w:hAnsi="Times New Roman"/>
          <w:bCs/>
          <w:i/>
          <w:spacing w:val="-2"/>
          <w:sz w:val="28"/>
          <w:szCs w:val="28"/>
        </w:rPr>
        <w:t xml:space="preserve"> </w:t>
      </w:r>
      <w:r w:rsidRPr="00DC24C5">
        <w:rPr>
          <w:rFonts w:ascii="Times New Roman" w:hAnsi="Times New Roman"/>
          <w:b/>
          <w:bCs/>
          <w:i/>
          <w:spacing w:val="-2"/>
          <w:sz w:val="28"/>
          <w:szCs w:val="28"/>
        </w:rPr>
        <w:t>một cơ quan chủ trì</w:t>
      </w:r>
      <w:r w:rsidRPr="00DC24C5">
        <w:rPr>
          <w:rFonts w:ascii="Times New Roman" w:hAnsi="Times New Roman"/>
          <w:bCs/>
          <w:i/>
          <w:spacing w:val="-2"/>
          <w:sz w:val="28"/>
          <w:szCs w:val="28"/>
        </w:rPr>
        <w:t>, chịu trách nhiệm chính, các cơ quan có liên quan phối hợp thực hiện”</w:t>
      </w:r>
      <w:r w:rsidRPr="00DC24C5">
        <w:rPr>
          <w:rFonts w:ascii="Times New Roman" w:hAnsi="Times New Roman"/>
          <w:bCs/>
          <w:spacing w:val="-2"/>
          <w:sz w:val="28"/>
          <w:szCs w:val="28"/>
        </w:rPr>
        <w:t xml:space="preserve">. Trường hợp hiểu công tác quản lý nhà nước về khoáng sản ở cấp trung ương là </w:t>
      </w:r>
      <w:r w:rsidRPr="00DC24C5">
        <w:rPr>
          <w:rFonts w:ascii="Times New Roman" w:hAnsi="Times New Roman"/>
          <w:b/>
          <w:bCs/>
          <w:spacing w:val="-2"/>
          <w:sz w:val="28"/>
          <w:szCs w:val="28"/>
        </w:rPr>
        <w:t>một việc</w:t>
      </w:r>
      <w:r w:rsidRPr="00DC24C5">
        <w:rPr>
          <w:rFonts w:ascii="Times New Roman" w:hAnsi="Times New Roman"/>
          <w:bCs/>
          <w:spacing w:val="-2"/>
          <w:sz w:val="28"/>
          <w:szCs w:val="28"/>
        </w:rPr>
        <w:t>, thì việc thực hiện theo Phương án 1 nhằm thể chế hóa Nghị quyết này.</w:t>
      </w:r>
      <w:r>
        <w:rPr>
          <w:rFonts w:ascii="Times New Roman" w:hAnsi="Times New Roman"/>
          <w:bCs/>
          <w:spacing w:val="-2"/>
          <w:sz w:val="28"/>
          <w:szCs w:val="28"/>
        </w:rPr>
        <w:t xml:space="preserve"> </w:t>
      </w:r>
      <w:r>
        <w:rPr>
          <w:rFonts w:ascii="Times New Roman" w:hAnsi="Times New Roman"/>
          <w:bCs/>
          <w:i/>
          <w:spacing w:val="-2"/>
          <w:sz w:val="28"/>
          <w:szCs w:val="28"/>
        </w:rPr>
        <w:t xml:space="preserve">(2) </w:t>
      </w:r>
      <w:r w:rsidRPr="00DC24C5">
        <w:rPr>
          <w:rFonts w:ascii="Times New Roman" w:hAnsi="Times New Roman"/>
          <w:bCs/>
          <w:sz w:val="28"/>
          <w:szCs w:val="28"/>
        </w:rPr>
        <w:t xml:space="preserve">Bộ Tài nguyên và Môi trường là cơ quan chủ trì, chịu trách nhiệm thực hiện công tác điều tra cơ bản địa chất, điều tra địa chất về khoáng sản. Trên cơ sở kết quả của công tác điều tra, Bộ Tài nguyên và Môi trường tiếp tục thực hiện công tác khoanh định khu vực dự trữ khoáng sản quốc gia, khoanh định khu vực cấm hoạt động khoáng sản, khu vực tạm thời cấm hoạt động khoáng sản và khoanh định khu vực khoáng sản có quy mô phân tán, nhỏ lẻ. Việc giao Bộ Tài nguyên và Môi trường chủ trì lập, trình phê duyệt quy hoạch thăm dò, khai thác khoáng sản sẽ bảo đảm thống nhất, đồng </w:t>
      </w:r>
      <w:r w:rsidRPr="00DC24C5">
        <w:rPr>
          <w:rFonts w:ascii="Times New Roman" w:hAnsi="Times New Roman"/>
          <w:bCs/>
          <w:spacing w:val="-2"/>
          <w:sz w:val="28"/>
          <w:szCs w:val="28"/>
        </w:rPr>
        <w:t>bộ</w:t>
      </w:r>
      <w:r w:rsidRPr="00DC24C5">
        <w:rPr>
          <w:rFonts w:ascii="Times New Roman" w:hAnsi="Times New Roman"/>
          <w:bCs/>
          <w:sz w:val="28"/>
          <w:szCs w:val="28"/>
        </w:rPr>
        <w:t xml:space="preserve"> trách nhiệm và tạo sự gắn kết chặt chẽ, hiệu quả từ khâu điều tra, quy hoạch, cấp phép thăm dò, khai thác khoáng sản, kiểm tra, thanh tra trong hoạt động khoáng sản. Việc thực hiện theo Phương án này còn nhằm thể chế hóa quan điểm “</w:t>
      </w:r>
      <w:r w:rsidRPr="00DC24C5">
        <w:rPr>
          <w:rFonts w:ascii="Times New Roman" w:hAnsi="Times New Roman"/>
          <w:bCs/>
          <w:i/>
          <w:sz w:val="28"/>
          <w:szCs w:val="28"/>
        </w:rPr>
        <w:t>Thực hiện thống nhất quản lý nhà nước về địa chất, khoáng sản</w:t>
      </w:r>
      <w:r w:rsidRPr="00DC24C5">
        <w:rPr>
          <w:rFonts w:ascii="Times New Roman" w:hAnsi="Times New Roman"/>
          <w:bCs/>
          <w:sz w:val="28"/>
          <w:szCs w:val="28"/>
        </w:rPr>
        <w:t>” tại Nghị quyết 10/NQ-TW ngày 10/2/2022 của Bộ Chính trị.</w:t>
      </w:r>
      <w:r>
        <w:rPr>
          <w:rFonts w:ascii="Times New Roman" w:hAnsi="Times New Roman"/>
          <w:bCs/>
          <w:sz w:val="28"/>
          <w:szCs w:val="28"/>
        </w:rPr>
        <w:t xml:space="preserve"> </w:t>
      </w:r>
      <w:r>
        <w:rPr>
          <w:rFonts w:ascii="Times New Roman" w:hAnsi="Times New Roman"/>
          <w:bCs/>
          <w:i/>
          <w:sz w:val="28"/>
          <w:szCs w:val="28"/>
        </w:rPr>
        <w:t xml:space="preserve">(3) </w:t>
      </w:r>
      <w:r w:rsidRPr="00DC24C5">
        <w:rPr>
          <w:rFonts w:ascii="Times New Roman" w:hAnsi="Times New Roman"/>
          <w:bCs/>
          <w:spacing w:val="-2"/>
          <w:sz w:val="28"/>
          <w:szCs w:val="28"/>
        </w:rPr>
        <w:t>Bộ Tài nguyên và Môi trường thực hiện chức năng quản lý nhà nước về tài nguyên và môi trường. Vì vậy, khi chủ trì lập quy hoạch, các nội dung liên quan (</w:t>
      </w:r>
      <w:r w:rsidRPr="00DC24C5">
        <w:rPr>
          <w:rFonts w:ascii="Times New Roman" w:hAnsi="Times New Roman"/>
          <w:bCs/>
          <w:i/>
          <w:spacing w:val="-2"/>
          <w:sz w:val="28"/>
          <w:szCs w:val="28"/>
        </w:rPr>
        <w:t>đất đai, môi trường, tài nguyên nước, biến đổi khí hậu, đa dạng sinh học, địa chất, khoáng sản...</w:t>
      </w:r>
      <w:r w:rsidRPr="00DC24C5">
        <w:rPr>
          <w:rFonts w:ascii="Times New Roman" w:hAnsi="Times New Roman"/>
          <w:bCs/>
          <w:spacing w:val="-2"/>
          <w:sz w:val="28"/>
          <w:szCs w:val="28"/>
        </w:rPr>
        <w:t>) sẽ được xem xét toàn diện để bảo đảm nguyên tắc phát triển bền vững.</w:t>
      </w:r>
    </w:p>
    <w:p w14:paraId="752E4499" w14:textId="77777777" w:rsidR="00DC24C5" w:rsidRPr="00DC24C5" w:rsidRDefault="00DC24C5" w:rsidP="00FE0F41">
      <w:pPr>
        <w:pStyle w:val="BodyText"/>
        <w:tabs>
          <w:tab w:val="left" w:pos="851"/>
        </w:tabs>
        <w:spacing w:before="100" w:line="240" w:lineRule="auto"/>
        <w:ind w:firstLine="567"/>
        <w:rPr>
          <w:bCs w:val="0"/>
        </w:rPr>
      </w:pPr>
      <w:r w:rsidRPr="00DC24C5">
        <w:t>Mặt khác, các Luật có liên quan như Luật Đất đai, Luật Tài nguyên nước, Luật Tài nguyên, môi trường biển và hải đảo, Luật Bảo vệ môi trường đều giao Bộ Tài nguyên và Môi trường lập, trình cấp có thẩm quyền phê duyệt quy hoạch.</w:t>
      </w:r>
    </w:p>
    <w:p w14:paraId="4BD7B568" w14:textId="3B5B6C3E" w:rsidR="00D57625" w:rsidRPr="0035203F" w:rsidRDefault="00DC24C5" w:rsidP="00FE0F41">
      <w:pPr>
        <w:tabs>
          <w:tab w:val="left" w:pos="2674"/>
          <w:tab w:val="left" w:pos="4848"/>
        </w:tabs>
        <w:spacing w:before="100" w:after="0" w:line="240" w:lineRule="auto"/>
        <w:ind w:firstLine="567"/>
        <w:jc w:val="both"/>
        <w:rPr>
          <w:rFonts w:ascii="Times New Roman" w:hAnsi="Times New Roman"/>
          <w:sz w:val="28"/>
          <w:szCs w:val="28"/>
        </w:rPr>
      </w:pPr>
      <w:r w:rsidRPr="00DC24C5">
        <w:rPr>
          <w:rFonts w:ascii="Times New Roman" w:hAnsi="Times New Roman"/>
          <w:bCs/>
          <w:i/>
          <w:iCs/>
          <w:sz w:val="28"/>
          <w:szCs w:val="28"/>
        </w:rPr>
        <w:t>b) Nhược điểm</w:t>
      </w:r>
      <w:r>
        <w:rPr>
          <w:rFonts w:ascii="Times New Roman" w:hAnsi="Times New Roman"/>
          <w:bCs/>
          <w:i/>
          <w:iCs/>
          <w:sz w:val="28"/>
          <w:szCs w:val="28"/>
        </w:rPr>
        <w:t xml:space="preserve">: (1) </w:t>
      </w:r>
      <w:r w:rsidRPr="00DC24C5">
        <w:rPr>
          <w:rFonts w:ascii="Times New Roman" w:hAnsi="Times New Roman"/>
          <w:bCs/>
          <w:sz w:val="28"/>
          <w:szCs w:val="28"/>
        </w:rPr>
        <w:t xml:space="preserve">Phương án này chưa được tổng kết, đánh giá đầy đủ, kỹ lưỡng tác động của sự thay đổi giải pháp thực hiện. </w:t>
      </w:r>
      <w:r>
        <w:rPr>
          <w:rFonts w:ascii="Times New Roman" w:hAnsi="Times New Roman"/>
          <w:bCs/>
          <w:i/>
          <w:sz w:val="28"/>
          <w:szCs w:val="28"/>
        </w:rPr>
        <w:t xml:space="preserve">(2) </w:t>
      </w:r>
      <w:r w:rsidRPr="00DC24C5">
        <w:rPr>
          <w:rFonts w:ascii="Times New Roman" w:hAnsi="Times New Roman"/>
          <w:bCs/>
          <w:sz w:val="28"/>
          <w:szCs w:val="28"/>
        </w:rPr>
        <w:t>Làm thay đổi chức năng nhiệm vụ, tổ chức bộ máy của các bộ, ngành trong công tác quản lý nhà nước về quy hoạch khoáng sản.</w:t>
      </w:r>
      <w:r>
        <w:rPr>
          <w:rFonts w:ascii="Times New Roman" w:hAnsi="Times New Roman"/>
          <w:bCs/>
          <w:sz w:val="28"/>
          <w:szCs w:val="28"/>
        </w:rPr>
        <w:t xml:space="preserve"> </w:t>
      </w:r>
      <w:r>
        <w:rPr>
          <w:rFonts w:ascii="Times New Roman" w:hAnsi="Times New Roman"/>
          <w:bCs/>
          <w:i/>
          <w:sz w:val="28"/>
          <w:szCs w:val="28"/>
        </w:rPr>
        <w:t xml:space="preserve">(3) </w:t>
      </w:r>
      <w:r w:rsidRPr="00DC24C5">
        <w:rPr>
          <w:rFonts w:ascii="Times New Roman" w:hAnsi="Times New Roman"/>
          <w:bCs/>
          <w:sz w:val="28"/>
          <w:szCs w:val="28"/>
        </w:rPr>
        <w:t>Phải sửa đổi, bổ sung một số nội dung quy định của pháp luật về quy hoạch (liên quan đến tên quy hoạch, trách nhiệm lập quy hoạch).</w:t>
      </w:r>
      <w:r>
        <w:rPr>
          <w:rFonts w:ascii="Times New Roman" w:hAnsi="Times New Roman"/>
          <w:bCs/>
          <w:sz w:val="28"/>
          <w:szCs w:val="28"/>
        </w:rPr>
        <w:t xml:space="preserve"> </w:t>
      </w:r>
      <w:r>
        <w:rPr>
          <w:rFonts w:ascii="Times New Roman" w:hAnsi="Times New Roman"/>
          <w:bCs/>
          <w:i/>
          <w:sz w:val="28"/>
          <w:szCs w:val="28"/>
        </w:rPr>
        <w:t xml:space="preserve">(4) </w:t>
      </w:r>
      <w:r w:rsidRPr="00DC24C5">
        <w:rPr>
          <w:rFonts w:ascii="Times New Roman" w:hAnsi="Times New Roman"/>
          <w:bCs/>
          <w:sz w:val="28"/>
          <w:szCs w:val="28"/>
        </w:rPr>
        <w:t xml:space="preserve">Việc giao cho một bộ quản lý có thể không bảo đảm tính khách quan trong công tác quản </w:t>
      </w:r>
      <w:r w:rsidRPr="00DC24C5">
        <w:rPr>
          <w:rFonts w:ascii="Times New Roman" w:hAnsi="Times New Roman"/>
          <w:sz w:val="28"/>
          <w:szCs w:val="28"/>
          <w:lang w:val="pl-PL"/>
        </w:rPr>
        <w:t>lý nhà nước về khoáng sản</w:t>
      </w:r>
      <w:r w:rsidRPr="00DC24C5">
        <w:rPr>
          <w:rFonts w:ascii="Times New Roman" w:hAnsi="Times New Roman"/>
          <w:sz w:val="28"/>
          <w:szCs w:val="28"/>
        </w:rPr>
        <w:t xml:space="preserve"> </w:t>
      </w:r>
      <w:r w:rsidRPr="00DC24C5">
        <w:rPr>
          <w:rFonts w:ascii="Times New Roman" w:hAnsi="Times New Roman"/>
          <w:bCs/>
          <w:sz w:val="28"/>
          <w:szCs w:val="28"/>
        </w:rPr>
        <w:t>khi cơ quan lập, quản lý quy hoạch đồng thời là cơ quan cấp giấy phép hoạt động khoáng sản.</w:t>
      </w:r>
    </w:p>
    <w:p w14:paraId="7C5B9A21" w14:textId="2AA97330" w:rsidR="00D57625" w:rsidRPr="00DC24C5" w:rsidRDefault="00D57625" w:rsidP="00FE0F41">
      <w:pPr>
        <w:pStyle w:val="BodyText"/>
        <w:tabs>
          <w:tab w:val="left" w:pos="851"/>
        </w:tabs>
        <w:spacing w:before="100" w:line="240" w:lineRule="auto"/>
        <w:ind w:firstLine="567"/>
        <w:rPr>
          <w:b/>
          <w:i/>
          <w:iCs/>
          <w:spacing w:val="-2"/>
        </w:rPr>
      </w:pPr>
      <w:r w:rsidRPr="00DC24C5">
        <w:rPr>
          <w:b/>
          <w:i/>
          <w:iCs/>
          <w:spacing w:val="-2"/>
        </w:rPr>
        <w:t>Về Phương án 2</w:t>
      </w:r>
    </w:p>
    <w:p w14:paraId="3EE413FD" w14:textId="352DD750" w:rsidR="00DC24C5" w:rsidRPr="00DC24C5" w:rsidRDefault="00DC24C5" w:rsidP="00FE0F41">
      <w:pPr>
        <w:widowControl w:val="0"/>
        <w:spacing w:before="100" w:after="0" w:line="240" w:lineRule="auto"/>
        <w:ind w:firstLine="567"/>
        <w:jc w:val="both"/>
        <w:rPr>
          <w:rFonts w:ascii="Times New Roman" w:hAnsi="Times New Roman"/>
          <w:bCs/>
          <w:spacing w:val="-4"/>
          <w:sz w:val="28"/>
          <w:szCs w:val="28"/>
        </w:rPr>
      </w:pPr>
      <w:r w:rsidRPr="00DC24C5">
        <w:rPr>
          <w:rFonts w:ascii="Times New Roman" w:hAnsi="Times New Roman"/>
          <w:i/>
          <w:iCs/>
          <w:spacing w:val="-1"/>
          <w:sz w:val="28"/>
          <w:szCs w:val="28"/>
        </w:rPr>
        <w:t>a) Ưu điểm</w:t>
      </w:r>
      <w:r>
        <w:rPr>
          <w:rFonts w:ascii="Times New Roman" w:hAnsi="Times New Roman"/>
          <w:i/>
          <w:iCs/>
          <w:spacing w:val="-1"/>
          <w:sz w:val="28"/>
          <w:szCs w:val="28"/>
        </w:rPr>
        <w:t xml:space="preserve">: (1) </w:t>
      </w:r>
      <w:r w:rsidRPr="00DC24C5">
        <w:rPr>
          <w:rFonts w:ascii="Times New Roman" w:hAnsi="Times New Roman"/>
          <w:bCs/>
          <w:sz w:val="28"/>
          <w:szCs w:val="28"/>
        </w:rPr>
        <w:t xml:space="preserve">Việc giao cho Bộ Công Thương, Bộ Xây dựng chủ trì lập các quy hoạch khoáng sản sẽ bảo đảm gắn kết giữa công tác lập quy hoạch với việc tổng hợp thông tin, số liệu, đánh giá và xác định nhu cầu sử dụng nguyên liệu khoáng sản của các ngành công nghiệp luyện kim, hóa chất và vật liệu xây dựng do các Bộ chuyên ngành trên đang quản lý. </w:t>
      </w:r>
      <w:r>
        <w:rPr>
          <w:rFonts w:ascii="Times New Roman" w:hAnsi="Times New Roman"/>
          <w:bCs/>
          <w:i/>
          <w:sz w:val="28"/>
          <w:szCs w:val="28"/>
        </w:rPr>
        <w:t xml:space="preserve">(2) </w:t>
      </w:r>
      <w:r w:rsidRPr="00DC24C5">
        <w:rPr>
          <w:rFonts w:ascii="Times New Roman" w:hAnsi="Times New Roman"/>
          <w:bCs/>
          <w:sz w:val="28"/>
          <w:szCs w:val="28"/>
        </w:rPr>
        <w:t xml:space="preserve">Duy trì tính ổn định trong việc phân công trách </w:t>
      </w:r>
      <w:r w:rsidRPr="00DC24C5">
        <w:rPr>
          <w:rFonts w:ascii="Times New Roman" w:hAnsi="Times New Roman"/>
          <w:bCs/>
          <w:sz w:val="28"/>
          <w:szCs w:val="28"/>
        </w:rPr>
        <w:lastRenderedPageBreak/>
        <w:t xml:space="preserve">nhiệm lập quy hoạch khoáng sản thời gian qua, </w:t>
      </w:r>
      <w:r w:rsidRPr="00DC24C5">
        <w:rPr>
          <w:rFonts w:ascii="Times New Roman" w:hAnsi="Times New Roman"/>
          <w:sz w:val="28"/>
          <w:szCs w:val="28"/>
          <w:lang w:val="vi-VN"/>
        </w:rPr>
        <w:t>phù hợp với chức năng nhiệm vụ của các Bộ</w:t>
      </w:r>
      <w:r w:rsidRPr="00DC24C5">
        <w:rPr>
          <w:rFonts w:ascii="Times New Roman" w:hAnsi="Times New Roman"/>
          <w:sz w:val="28"/>
          <w:szCs w:val="28"/>
        </w:rPr>
        <w:t xml:space="preserve"> (</w:t>
      </w:r>
      <w:r w:rsidRPr="00DC24C5">
        <w:rPr>
          <w:rFonts w:ascii="Times New Roman" w:hAnsi="Times New Roman"/>
          <w:sz w:val="28"/>
          <w:szCs w:val="28"/>
          <w:lang w:val="vi-VN"/>
        </w:rPr>
        <w:t>Tài nguyên và Môi trường, Xây dựng, Công Thương</w:t>
      </w:r>
      <w:r w:rsidRPr="00DC24C5">
        <w:rPr>
          <w:rFonts w:ascii="Times New Roman" w:hAnsi="Times New Roman"/>
          <w:sz w:val="28"/>
          <w:szCs w:val="28"/>
        </w:rPr>
        <w:t>)</w:t>
      </w:r>
      <w:r w:rsidRPr="00DC24C5">
        <w:rPr>
          <w:rFonts w:ascii="Times New Roman" w:hAnsi="Times New Roman"/>
          <w:sz w:val="28"/>
          <w:szCs w:val="28"/>
          <w:lang w:val="vi-VN"/>
        </w:rPr>
        <w:t xml:space="preserve"> theo phân công </w:t>
      </w:r>
      <w:r w:rsidRPr="00DC24C5">
        <w:rPr>
          <w:rFonts w:ascii="Times New Roman" w:hAnsi="Times New Roman"/>
          <w:sz w:val="28"/>
          <w:szCs w:val="28"/>
          <w:lang w:val="en-GB"/>
        </w:rPr>
        <w:t xml:space="preserve">hiện nay </w:t>
      </w:r>
      <w:r w:rsidRPr="00DC24C5">
        <w:rPr>
          <w:rFonts w:ascii="Times New Roman" w:hAnsi="Times New Roman"/>
          <w:sz w:val="28"/>
          <w:szCs w:val="28"/>
          <w:lang w:val="vi-VN"/>
        </w:rPr>
        <w:t>của Chính phủ</w:t>
      </w:r>
      <w:r w:rsidRPr="00DC24C5">
        <w:rPr>
          <w:rFonts w:ascii="Times New Roman" w:hAnsi="Times New Roman"/>
          <w:bCs/>
          <w:sz w:val="28"/>
          <w:szCs w:val="28"/>
        </w:rPr>
        <w:t xml:space="preserve">, hạn chế xáo trộn chức năng, nhiệm vụ của cơ quan chuyên môn tại địa phương. </w:t>
      </w:r>
      <w:r>
        <w:rPr>
          <w:rFonts w:ascii="Times New Roman" w:hAnsi="Times New Roman"/>
          <w:bCs/>
          <w:i/>
          <w:sz w:val="28"/>
          <w:szCs w:val="28"/>
        </w:rPr>
        <w:t xml:space="preserve">(3) </w:t>
      </w:r>
      <w:r w:rsidRPr="00DC24C5">
        <w:rPr>
          <w:rFonts w:ascii="Times New Roman" w:hAnsi="Times New Roman"/>
          <w:bCs/>
          <w:spacing w:val="-4"/>
          <w:sz w:val="28"/>
          <w:szCs w:val="28"/>
        </w:rPr>
        <w:t>Không phải sửa đổi, bổ sung một số nội dung quy định của Luật Quy hoạch (liên quan đến trách nhiệm lập quy hoạch), bảo đảm tính ổn định của hệ thống pháp luật.</w:t>
      </w:r>
    </w:p>
    <w:p w14:paraId="41B4BB80" w14:textId="668A757B" w:rsidR="00B02BDE" w:rsidRPr="00DC24C5" w:rsidRDefault="00DC24C5" w:rsidP="00FE0F41">
      <w:pPr>
        <w:widowControl w:val="0"/>
        <w:spacing w:before="100" w:after="0" w:line="240" w:lineRule="auto"/>
        <w:ind w:firstLine="567"/>
        <w:jc w:val="both"/>
        <w:rPr>
          <w:rFonts w:ascii="Times New Roman" w:hAnsi="Times New Roman"/>
          <w:spacing w:val="-2"/>
        </w:rPr>
      </w:pPr>
      <w:r w:rsidRPr="00DC24C5">
        <w:rPr>
          <w:rFonts w:ascii="Times New Roman" w:hAnsi="Times New Roman"/>
          <w:i/>
          <w:iCs/>
          <w:spacing w:val="-1"/>
          <w:sz w:val="28"/>
          <w:szCs w:val="28"/>
        </w:rPr>
        <w:t>b) Nhược điểm</w:t>
      </w:r>
      <w:r>
        <w:rPr>
          <w:rFonts w:ascii="Times New Roman" w:hAnsi="Times New Roman"/>
          <w:i/>
          <w:iCs/>
          <w:spacing w:val="-1"/>
          <w:sz w:val="28"/>
          <w:szCs w:val="28"/>
        </w:rPr>
        <w:t xml:space="preserve">: (1) </w:t>
      </w:r>
      <w:r w:rsidRPr="00DC24C5">
        <w:rPr>
          <w:rFonts w:ascii="Times New Roman" w:hAnsi="Times New Roman"/>
          <w:bCs/>
          <w:sz w:val="28"/>
          <w:szCs w:val="28"/>
        </w:rPr>
        <w:t xml:space="preserve">Trường hợp hiểu công tác quản lý nhà nước về khoáng sản ở cấp trung ương là </w:t>
      </w:r>
      <w:r w:rsidRPr="00DC24C5">
        <w:rPr>
          <w:rFonts w:ascii="Times New Roman" w:hAnsi="Times New Roman"/>
          <w:b/>
          <w:bCs/>
          <w:sz w:val="28"/>
          <w:szCs w:val="28"/>
        </w:rPr>
        <w:t>một việc</w:t>
      </w:r>
      <w:r w:rsidRPr="00DC24C5">
        <w:rPr>
          <w:rFonts w:ascii="Times New Roman" w:hAnsi="Times New Roman"/>
          <w:bCs/>
          <w:sz w:val="28"/>
          <w:szCs w:val="28"/>
        </w:rPr>
        <w:t>,</w:t>
      </w:r>
      <w:r w:rsidRPr="00DC24C5">
        <w:rPr>
          <w:rFonts w:ascii="Times New Roman" w:hAnsi="Times New Roman"/>
          <w:b/>
          <w:bCs/>
          <w:sz w:val="28"/>
          <w:szCs w:val="28"/>
        </w:rPr>
        <w:t xml:space="preserve"> </w:t>
      </w:r>
      <w:r w:rsidRPr="00DC24C5">
        <w:rPr>
          <w:rFonts w:ascii="Times New Roman" w:hAnsi="Times New Roman"/>
          <w:sz w:val="28"/>
          <w:szCs w:val="28"/>
        </w:rPr>
        <w:t>thì v</w:t>
      </w:r>
      <w:r w:rsidRPr="00DC24C5">
        <w:rPr>
          <w:rFonts w:ascii="Times New Roman" w:hAnsi="Times New Roman"/>
          <w:bCs/>
          <w:sz w:val="28"/>
          <w:szCs w:val="28"/>
        </w:rPr>
        <w:t>iệc thực hiện theo Phương án này sẽ không bảo đảm nguyên tắc như đã nêu tại</w:t>
      </w:r>
      <w:r w:rsidRPr="00DC24C5">
        <w:rPr>
          <w:rFonts w:ascii="Times New Roman" w:hAnsi="Times New Roman"/>
          <w:b/>
          <w:bCs/>
          <w:sz w:val="28"/>
          <w:szCs w:val="28"/>
        </w:rPr>
        <w:t xml:space="preserve"> </w:t>
      </w:r>
      <w:r w:rsidRPr="00DC24C5">
        <w:rPr>
          <w:rFonts w:ascii="Times New Roman" w:hAnsi="Times New Roman"/>
          <w:bCs/>
          <w:sz w:val="28"/>
          <w:szCs w:val="28"/>
        </w:rPr>
        <w:t>Nghị quyết số 27-NQ/TW ngày 09/11/2022 của Ban Chấp hành Trung ương Đảng: “</w:t>
      </w:r>
      <w:r w:rsidRPr="00DC24C5">
        <w:rPr>
          <w:rFonts w:ascii="Times New Roman" w:hAnsi="Times New Roman"/>
          <w:bCs/>
          <w:i/>
          <w:sz w:val="28"/>
          <w:szCs w:val="28"/>
        </w:rPr>
        <w:t xml:space="preserve">Thực hiện nguyên tắc </w:t>
      </w:r>
      <w:r w:rsidRPr="00DC24C5">
        <w:rPr>
          <w:rFonts w:ascii="Times New Roman" w:hAnsi="Times New Roman"/>
          <w:b/>
          <w:bCs/>
          <w:i/>
          <w:sz w:val="28"/>
          <w:szCs w:val="28"/>
        </w:rPr>
        <w:t>một việc</w:t>
      </w:r>
      <w:r w:rsidRPr="00DC24C5">
        <w:rPr>
          <w:rFonts w:ascii="Times New Roman" w:hAnsi="Times New Roman"/>
          <w:bCs/>
          <w:i/>
          <w:sz w:val="28"/>
          <w:szCs w:val="28"/>
        </w:rPr>
        <w:t xml:space="preserve"> chỉ </w:t>
      </w:r>
      <w:r w:rsidRPr="00DC24C5">
        <w:rPr>
          <w:rFonts w:ascii="Times New Roman" w:hAnsi="Times New Roman"/>
          <w:b/>
          <w:bCs/>
          <w:i/>
          <w:sz w:val="28"/>
          <w:szCs w:val="28"/>
        </w:rPr>
        <w:t>giao cho</w:t>
      </w:r>
      <w:r w:rsidRPr="00DC24C5">
        <w:rPr>
          <w:rFonts w:ascii="Times New Roman" w:hAnsi="Times New Roman"/>
          <w:bCs/>
          <w:i/>
          <w:sz w:val="28"/>
          <w:szCs w:val="28"/>
        </w:rPr>
        <w:t xml:space="preserve"> </w:t>
      </w:r>
      <w:r w:rsidRPr="00DC24C5">
        <w:rPr>
          <w:rFonts w:ascii="Times New Roman" w:hAnsi="Times New Roman"/>
          <w:b/>
          <w:bCs/>
          <w:i/>
          <w:sz w:val="28"/>
          <w:szCs w:val="28"/>
        </w:rPr>
        <w:t>một cơ quan chủ trì</w:t>
      </w:r>
      <w:r w:rsidRPr="00DC24C5">
        <w:rPr>
          <w:rFonts w:ascii="Times New Roman" w:hAnsi="Times New Roman"/>
          <w:bCs/>
          <w:i/>
          <w:sz w:val="28"/>
          <w:szCs w:val="28"/>
        </w:rPr>
        <w:t>, chịu trách nhiệm chính, các cơ quan có liên quan phối hợp thực hiện”</w:t>
      </w:r>
      <w:r w:rsidRPr="00DC24C5">
        <w:rPr>
          <w:rFonts w:ascii="Times New Roman" w:hAnsi="Times New Roman"/>
          <w:bCs/>
          <w:sz w:val="28"/>
          <w:szCs w:val="28"/>
        </w:rPr>
        <w:t xml:space="preserve">. </w:t>
      </w:r>
      <w:r>
        <w:rPr>
          <w:rFonts w:ascii="Times New Roman" w:hAnsi="Times New Roman"/>
          <w:bCs/>
          <w:i/>
          <w:sz w:val="28"/>
          <w:szCs w:val="28"/>
        </w:rPr>
        <w:t xml:space="preserve">(2) </w:t>
      </w:r>
      <w:r w:rsidRPr="00DC24C5">
        <w:rPr>
          <w:rFonts w:ascii="Times New Roman" w:hAnsi="Times New Roman"/>
          <w:bCs/>
          <w:sz w:val="28"/>
          <w:szCs w:val="28"/>
        </w:rPr>
        <w:t xml:space="preserve">Nếu sự phối hợp giữa các </w:t>
      </w:r>
      <w:r w:rsidRPr="00DC24C5">
        <w:rPr>
          <w:rFonts w:ascii="Times New Roman" w:hAnsi="Times New Roman"/>
          <w:bCs/>
          <w:sz w:val="28"/>
          <w:szCs w:val="28"/>
          <w:lang w:val="vi-VN"/>
        </w:rPr>
        <w:t>B</w:t>
      </w:r>
      <w:r w:rsidRPr="00DC24C5">
        <w:rPr>
          <w:rFonts w:ascii="Times New Roman" w:hAnsi="Times New Roman"/>
          <w:bCs/>
          <w:sz w:val="28"/>
          <w:szCs w:val="28"/>
        </w:rPr>
        <w:t>ộ</w:t>
      </w:r>
      <w:r w:rsidRPr="00DC24C5">
        <w:rPr>
          <w:rFonts w:ascii="Times New Roman" w:hAnsi="Times New Roman"/>
          <w:bCs/>
          <w:sz w:val="28"/>
          <w:szCs w:val="28"/>
          <w:lang w:val="vi-VN"/>
        </w:rPr>
        <w:t xml:space="preserve"> Tài nguyên và Môi trường, Bộ Công Thương, Bộ Xây dựng và các bộ</w:t>
      </w:r>
      <w:r w:rsidRPr="00DC24C5">
        <w:rPr>
          <w:rFonts w:ascii="Times New Roman" w:hAnsi="Times New Roman"/>
          <w:bCs/>
          <w:sz w:val="28"/>
          <w:szCs w:val="28"/>
        </w:rPr>
        <w:t xml:space="preserve">, ngành liên quan thiếu chặt chẽ, có thể dẫn tới kéo dài </w:t>
      </w:r>
      <w:r w:rsidRPr="00DC24C5">
        <w:rPr>
          <w:rFonts w:ascii="Times New Roman" w:hAnsi="Times New Roman"/>
          <w:bCs/>
          <w:sz w:val="28"/>
          <w:szCs w:val="28"/>
          <w:lang w:val="vi-VN"/>
        </w:rPr>
        <w:t>thời gian lập quy hoạch</w:t>
      </w:r>
      <w:r w:rsidRPr="00DC24C5">
        <w:rPr>
          <w:rFonts w:ascii="Times New Roman" w:hAnsi="Times New Roman"/>
          <w:bCs/>
          <w:sz w:val="28"/>
          <w:szCs w:val="28"/>
        </w:rPr>
        <w:t xml:space="preserve"> và ảnh hưởng đến chất lượng của quy hoạch.</w:t>
      </w:r>
    </w:p>
    <w:p w14:paraId="2A774AD1" w14:textId="4D89E6C8" w:rsidR="00D57625" w:rsidRPr="0035203F" w:rsidRDefault="00D57625" w:rsidP="00FE0F41">
      <w:pPr>
        <w:pStyle w:val="BodyText"/>
        <w:widowControl w:val="0"/>
        <w:tabs>
          <w:tab w:val="left" w:pos="851"/>
        </w:tabs>
        <w:spacing w:before="100" w:line="240" w:lineRule="auto"/>
        <w:ind w:firstLine="567"/>
        <w:rPr>
          <w:b/>
          <w:bCs w:val="0"/>
          <w:i/>
        </w:rPr>
      </w:pPr>
      <w:bookmarkStart w:id="2" w:name="_Hlk175380691"/>
      <w:r w:rsidRPr="0035203F">
        <w:rPr>
          <w:b/>
          <w:bCs w:val="0"/>
          <w:i/>
        </w:rPr>
        <w:t xml:space="preserve">Đa số ý kiến Thường trực Ủy ban </w:t>
      </w:r>
      <w:proofErr w:type="gramStart"/>
      <w:r w:rsidRPr="0035203F">
        <w:rPr>
          <w:b/>
          <w:bCs w:val="0"/>
          <w:i/>
        </w:rPr>
        <w:t>KH,CN</w:t>
      </w:r>
      <w:proofErr w:type="gramEnd"/>
      <w:r w:rsidRPr="0035203F">
        <w:rPr>
          <w:b/>
          <w:bCs w:val="0"/>
          <w:i/>
        </w:rPr>
        <w:t>&amp;MT đồng ý theo Phương án 2</w:t>
      </w:r>
      <w:r w:rsidRPr="0035203F">
        <w:rPr>
          <w:b/>
          <w:bCs w:val="0"/>
        </w:rPr>
        <w:t>.</w:t>
      </w:r>
    </w:p>
    <w:bookmarkEnd w:id="2"/>
    <w:p w14:paraId="0E56B611" w14:textId="77777777" w:rsidR="00AE240F" w:rsidRPr="0035203F" w:rsidRDefault="00AE240F" w:rsidP="00FE0F41">
      <w:pPr>
        <w:pStyle w:val="Heading2"/>
        <w:keepNext w:val="0"/>
        <w:widowControl w:val="0"/>
        <w:numPr>
          <w:ilvl w:val="1"/>
          <w:numId w:val="4"/>
        </w:numPr>
        <w:tabs>
          <w:tab w:val="num" w:pos="360"/>
          <w:tab w:val="left" w:pos="1134"/>
        </w:tabs>
        <w:spacing w:before="100" w:after="0"/>
        <w:ind w:left="0" w:firstLine="567"/>
        <w:jc w:val="both"/>
        <w:rPr>
          <w:rFonts w:ascii="Times New Roman" w:hAnsi="Times New Roman"/>
        </w:rPr>
      </w:pPr>
      <w:r w:rsidRPr="0035203F">
        <w:rPr>
          <w:rFonts w:ascii="Times New Roman" w:hAnsi="Times New Roman"/>
        </w:rPr>
        <w:t>Về điều chỉnh quy hoạch khoáng sản (Điều 16)</w:t>
      </w:r>
    </w:p>
    <w:p w14:paraId="22740966" w14:textId="5A4A7063" w:rsidR="00D57625" w:rsidRPr="0035203F" w:rsidRDefault="00D57625" w:rsidP="00FE0F41">
      <w:pPr>
        <w:pStyle w:val="BodyText"/>
        <w:widowControl w:val="0"/>
        <w:tabs>
          <w:tab w:val="left" w:pos="851"/>
        </w:tabs>
        <w:spacing w:before="100" w:line="240" w:lineRule="auto"/>
        <w:ind w:firstLine="567"/>
        <w:rPr>
          <w:bCs w:val="0"/>
          <w:i/>
        </w:rPr>
      </w:pPr>
      <w:r w:rsidRPr="0035203F">
        <w:rPr>
          <w:bCs w:val="0"/>
          <w:i/>
        </w:rPr>
        <w:t>Có ý kiến cho rằng quy định như dự thảo Luật là đã mở rộng đối tượng điều chỉnh quy hoạch so với quy định của Luật Quy hoạch; đề nghị làm rõ tiêu chí điều chỉnh quy hoạch là “vì lợi ích quốc gia, công cộng”; cân nhắc cho phép bổ sung quy định điều chỉnh hằng năm với các quy hoạch khoáng sản cho phù hợp thực tiễn.</w:t>
      </w:r>
    </w:p>
    <w:p w14:paraId="58994D98" w14:textId="361AB9F4" w:rsidR="00D57625" w:rsidRPr="0035203F" w:rsidRDefault="00D57625" w:rsidP="00FE0F41">
      <w:pPr>
        <w:pStyle w:val="BodyText"/>
        <w:widowControl w:val="0"/>
        <w:tabs>
          <w:tab w:val="left" w:pos="851"/>
        </w:tabs>
        <w:spacing w:before="100" w:line="240" w:lineRule="auto"/>
        <w:ind w:firstLine="567"/>
        <w:rPr>
          <w:bCs w:val="0"/>
        </w:rPr>
      </w:pPr>
      <w:r w:rsidRPr="0035203F">
        <w:rPr>
          <w:bCs w:val="0"/>
        </w:rPr>
        <w:t xml:space="preserve">Thường trực Ủy ban </w:t>
      </w:r>
      <w:proofErr w:type="gramStart"/>
      <w:r w:rsidRPr="0035203F">
        <w:rPr>
          <w:bCs w:val="0"/>
        </w:rPr>
        <w:t>KH,CN</w:t>
      </w:r>
      <w:proofErr w:type="gramEnd"/>
      <w:r w:rsidRPr="0035203F">
        <w:rPr>
          <w:bCs w:val="0"/>
        </w:rPr>
        <w:t xml:space="preserve">&amp;MT phối hợp Cơ quan chủ trì soạn thảo dự thảo nội dung Điều 16 theo </w:t>
      </w:r>
      <w:r w:rsidRPr="0035203F">
        <w:rPr>
          <w:b/>
          <w:bCs w:val="0"/>
        </w:rPr>
        <w:t xml:space="preserve">02 phương án </w:t>
      </w:r>
      <w:r w:rsidRPr="0035203F">
        <w:rPr>
          <w:bCs w:val="0"/>
        </w:rPr>
        <w:t>như sau:</w:t>
      </w:r>
    </w:p>
    <w:p w14:paraId="0C429B43" w14:textId="78B25AE0" w:rsidR="00D57625" w:rsidRPr="0035203F" w:rsidRDefault="00D57625" w:rsidP="00FE0F41">
      <w:pPr>
        <w:pStyle w:val="BodyText"/>
        <w:widowControl w:val="0"/>
        <w:tabs>
          <w:tab w:val="left" w:pos="851"/>
        </w:tabs>
        <w:spacing w:before="100" w:line="240" w:lineRule="auto"/>
        <w:ind w:firstLine="567"/>
        <w:rPr>
          <w:bCs w:val="0"/>
          <w:i/>
        </w:rPr>
      </w:pPr>
      <w:r w:rsidRPr="0035203F">
        <w:rPr>
          <w:bCs w:val="0"/>
          <w:i/>
        </w:rPr>
        <w:t xml:space="preserve">Phương án 1: Việc điều chỉnh thực hiện theo pháp luật về quy hoạch. </w:t>
      </w:r>
    </w:p>
    <w:p w14:paraId="724B010D" w14:textId="4F403F07" w:rsidR="00D57625" w:rsidRPr="0035203F" w:rsidRDefault="00D57625" w:rsidP="00FE0F41">
      <w:pPr>
        <w:pStyle w:val="BodyText"/>
        <w:tabs>
          <w:tab w:val="left" w:pos="851"/>
        </w:tabs>
        <w:spacing w:before="100" w:line="240" w:lineRule="auto"/>
        <w:ind w:firstLine="567"/>
        <w:rPr>
          <w:bCs w:val="0"/>
        </w:rPr>
      </w:pPr>
      <w:r w:rsidRPr="0035203F">
        <w:rPr>
          <w:bCs w:val="0"/>
          <w:i/>
        </w:rPr>
        <w:t>Phương án 2: Dự thảo Luật đã quy định các trường hợp không phải điều chỉnh quy hoạch và các trường hợp phải điều chỉnh quy hoạch theo hình thức rút gọn</w:t>
      </w:r>
      <w:r w:rsidRPr="0035203F">
        <w:rPr>
          <w:bCs w:val="0"/>
        </w:rPr>
        <w:t>.</w:t>
      </w:r>
    </w:p>
    <w:p w14:paraId="3E6752DC" w14:textId="7601512D" w:rsidR="00B02BDE" w:rsidRPr="00DC24C5" w:rsidRDefault="00B02BDE" w:rsidP="00FE0F41">
      <w:pPr>
        <w:pStyle w:val="BodyText"/>
        <w:tabs>
          <w:tab w:val="left" w:pos="851"/>
        </w:tabs>
        <w:spacing w:before="100" w:line="240" w:lineRule="auto"/>
        <w:ind w:firstLine="567"/>
        <w:rPr>
          <w:b/>
          <w:bCs w:val="0"/>
          <w:spacing w:val="1"/>
        </w:rPr>
      </w:pPr>
      <w:r w:rsidRPr="00DC24C5">
        <w:rPr>
          <w:b/>
          <w:iCs/>
          <w:spacing w:val="-1"/>
        </w:rPr>
        <w:t>Ưu, nhược điểm của từng phương án như sau:</w:t>
      </w:r>
    </w:p>
    <w:p w14:paraId="54F61BE8" w14:textId="77777777" w:rsidR="00B02BDE" w:rsidRPr="00DC24C5" w:rsidRDefault="00D57625" w:rsidP="00FE0F41">
      <w:pPr>
        <w:pStyle w:val="BodyText"/>
        <w:tabs>
          <w:tab w:val="left" w:pos="851"/>
        </w:tabs>
        <w:spacing w:before="100" w:line="240" w:lineRule="auto"/>
        <w:ind w:firstLine="567"/>
        <w:rPr>
          <w:b/>
          <w:bCs w:val="0"/>
          <w:i/>
          <w:spacing w:val="1"/>
        </w:rPr>
      </w:pPr>
      <w:r w:rsidRPr="00DC24C5">
        <w:rPr>
          <w:b/>
          <w:bCs w:val="0"/>
          <w:i/>
          <w:spacing w:val="1"/>
        </w:rPr>
        <w:t>Về Phương án 1</w:t>
      </w:r>
    </w:p>
    <w:p w14:paraId="40F17167" w14:textId="77777777" w:rsidR="00DC24C5" w:rsidRPr="00190F45" w:rsidRDefault="00DC24C5" w:rsidP="00FE0F41">
      <w:pPr>
        <w:pStyle w:val="BodyText"/>
        <w:widowControl w:val="0"/>
        <w:tabs>
          <w:tab w:val="left" w:pos="851"/>
        </w:tabs>
        <w:spacing w:before="100" w:line="240" w:lineRule="auto"/>
        <w:ind w:firstLine="567"/>
      </w:pPr>
      <w:r w:rsidRPr="00190F45">
        <w:rPr>
          <w:i/>
        </w:rPr>
        <w:t>a) Ưu điểm:</w:t>
      </w:r>
      <w:r w:rsidRPr="00190F45">
        <w:t xml:space="preserve"> Bảo đảm sự ổn định của pháp luật về quy hoạch; tính thống nhất giữa các hệ thống pháp luật liên quan đến quy hoạch.</w:t>
      </w:r>
    </w:p>
    <w:p w14:paraId="7EF7F935" w14:textId="4EB7DEF8" w:rsidR="00D57625" w:rsidRPr="0035203F" w:rsidRDefault="00DC24C5" w:rsidP="00FE0F41">
      <w:pPr>
        <w:pStyle w:val="BodyText"/>
        <w:tabs>
          <w:tab w:val="left" w:pos="851"/>
        </w:tabs>
        <w:spacing w:before="100" w:line="240" w:lineRule="auto"/>
        <w:ind w:firstLine="567"/>
        <w:rPr>
          <w:bCs w:val="0"/>
          <w:spacing w:val="1"/>
        </w:rPr>
      </w:pPr>
      <w:r w:rsidRPr="00DC24C5">
        <w:rPr>
          <w:bCs w:val="0"/>
          <w:i/>
          <w:spacing w:val="1"/>
        </w:rPr>
        <w:t>b) Nhược điểm:</w:t>
      </w:r>
      <w:r>
        <w:rPr>
          <w:bCs w:val="0"/>
          <w:i/>
          <w:spacing w:val="1"/>
        </w:rPr>
        <w:t xml:space="preserve"> (1) </w:t>
      </w:r>
      <w:r w:rsidRPr="00190F45">
        <w:rPr>
          <w:spacing w:val="-3"/>
        </w:rPr>
        <w:t xml:space="preserve">Do tính chất đặc thù </w:t>
      </w:r>
      <w:r w:rsidRPr="00DC24C5">
        <w:t>trong</w:t>
      </w:r>
      <w:r w:rsidRPr="00190F45">
        <w:rPr>
          <w:spacing w:val="-3"/>
        </w:rPr>
        <w:t xml:space="preserve"> </w:t>
      </w:r>
      <w:r w:rsidRPr="00DC24C5">
        <w:t>lĩnh</w:t>
      </w:r>
      <w:r w:rsidRPr="00190F45">
        <w:rPr>
          <w:spacing w:val="-3"/>
        </w:rPr>
        <w:t xml:space="preserve"> vực khoáng sản, một số thông tin trong quy hoạch phải được cập nhật kịp thời (</w:t>
      </w:r>
      <w:r w:rsidRPr="00190F45">
        <w:rPr>
          <w:i/>
          <w:spacing w:val="-3"/>
        </w:rPr>
        <w:t>như cập nhật, bổ sung, hiệu đính thông tin, dữ liệu về tên gọi khu vực khoáng sản, tên loại khoáng sản, tài nguyên, trữ lượng, công suất khai thác trong thực hiện đề án thăm dò khoáng sản, dự án khai thác khoáng sản thuộc quy hoạch; hiệu đính thông tin về tọa độ, diện tích khu vực khoáng sản để bảo đảm đồng bộ, chính xác trong thực hiện đề án thăm dò khoáng sản, dự án khai thác khoáng sản thuộc quy hoạch…</w:t>
      </w:r>
      <w:r w:rsidRPr="00190F45">
        <w:rPr>
          <w:spacing w:val="-3"/>
        </w:rPr>
        <w:t>). Trong khi đó, việc điều chỉnh theo Luât Quy hoạch, trong đó có quy hoạch khoáng sản được thực hiện 05 năm một lần và trình tự lập, thẩm định và phê duyệt như quy trình lập mới; quá trình này phức tạp về trình tự thủ tục</w:t>
      </w:r>
      <w:r w:rsidR="001217D9">
        <w:rPr>
          <w:spacing w:val="-3"/>
        </w:rPr>
        <w:t>,</w:t>
      </w:r>
      <w:r w:rsidRPr="00190F45">
        <w:rPr>
          <w:spacing w:val="-3"/>
        </w:rPr>
        <w:t xml:space="preserve"> thời gian dài (từ 02-3 năm).</w:t>
      </w:r>
      <w:r>
        <w:rPr>
          <w:spacing w:val="-3"/>
        </w:rPr>
        <w:t xml:space="preserve"> </w:t>
      </w:r>
      <w:r>
        <w:rPr>
          <w:i/>
          <w:spacing w:val="-3"/>
        </w:rPr>
        <w:t xml:space="preserve">(2) </w:t>
      </w:r>
      <w:r w:rsidRPr="00190F45">
        <w:t xml:space="preserve">Trường </w:t>
      </w:r>
      <w:r w:rsidRPr="00DC24C5">
        <w:rPr>
          <w:spacing w:val="-3"/>
        </w:rPr>
        <w:t>hợp</w:t>
      </w:r>
      <w:r w:rsidRPr="00190F45">
        <w:t xml:space="preserve"> không sửa đổi quy định điều chỉnh quy hoạch khoáng sản tại dự thảo Luật này, thì vẫn </w:t>
      </w:r>
      <w:r w:rsidRPr="00DC24C5">
        <w:rPr>
          <w:spacing w:val="-3"/>
        </w:rPr>
        <w:t>phải</w:t>
      </w:r>
      <w:r w:rsidRPr="00190F45">
        <w:t xml:space="preserve"> kiến nghị sửa đổi, bổ sung Luật Quy hoạch trong thời gian tới để giải quyết các vướng mắc, bất cập.</w:t>
      </w:r>
      <w:r w:rsidR="00D57625" w:rsidRPr="0035203F">
        <w:rPr>
          <w:bCs w:val="0"/>
          <w:spacing w:val="1"/>
        </w:rPr>
        <w:t xml:space="preserve">   </w:t>
      </w:r>
    </w:p>
    <w:p w14:paraId="15D834F3" w14:textId="7D81D892" w:rsidR="00D57625" w:rsidRPr="00DC24C5" w:rsidRDefault="00D57625" w:rsidP="00FE0F41">
      <w:pPr>
        <w:pStyle w:val="BodyText"/>
        <w:widowControl w:val="0"/>
        <w:tabs>
          <w:tab w:val="left" w:pos="851"/>
        </w:tabs>
        <w:spacing w:before="100" w:line="240" w:lineRule="auto"/>
        <w:ind w:firstLine="567"/>
        <w:rPr>
          <w:b/>
          <w:bCs w:val="0"/>
          <w:i/>
          <w:spacing w:val="-2"/>
        </w:rPr>
      </w:pPr>
      <w:r w:rsidRPr="00DC24C5">
        <w:rPr>
          <w:b/>
          <w:bCs w:val="0"/>
          <w:i/>
          <w:spacing w:val="-2"/>
        </w:rPr>
        <w:lastRenderedPageBreak/>
        <w:t>Về Phương án 2</w:t>
      </w:r>
    </w:p>
    <w:p w14:paraId="6438B780" w14:textId="49A98D72" w:rsidR="00DC24C5" w:rsidRPr="00DC24C5" w:rsidRDefault="00DC24C5" w:rsidP="00FE0F41">
      <w:pPr>
        <w:pStyle w:val="BodyText"/>
        <w:widowControl w:val="0"/>
        <w:tabs>
          <w:tab w:val="left" w:pos="851"/>
        </w:tabs>
        <w:spacing w:before="100" w:line="240" w:lineRule="auto"/>
        <w:ind w:firstLine="567"/>
        <w:rPr>
          <w:i/>
        </w:rPr>
      </w:pPr>
      <w:r w:rsidRPr="00DC24C5">
        <w:rPr>
          <w:bCs w:val="0"/>
          <w:i/>
          <w:spacing w:val="-2"/>
        </w:rPr>
        <w:t>a) Ưu điểm:</w:t>
      </w:r>
      <w:r>
        <w:rPr>
          <w:bCs w:val="0"/>
          <w:i/>
          <w:spacing w:val="-2"/>
        </w:rPr>
        <w:t xml:space="preserve"> (1) </w:t>
      </w:r>
      <w:r w:rsidRPr="00190F45">
        <w:t xml:space="preserve">Được quy định ngay trong dự thảo Luật này để góp phần giải quyết các khó khăn, bất cập hiện nay về quy hoạch khoáng sản theo phản ánh của các địa phương (nhất là các tỉnh Bình Phước, Đắk Nông). </w:t>
      </w:r>
      <w:r>
        <w:rPr>
          <w:i/>
        </w:rPr>
        <w:t xml:space="preserve">(2) </w:t>
      </w:r>
      <w:r w:rsidRPr="00190F45">
        <w:t>Việc điều chỉnh phương án quản lý về địa chất và khoáng sản như quy định của dự thảo Luật sẽ giải quyết các trường hợp khai thác khoáng sản làm vật liệu xây dựng thông thường (khoáng sản nhóm IV) phục vụ kịp thời các dự án đầu tư công khẩn cấp, công trình dự án trọng điểm quốc gia.</w:t>
      </w:r>
      <w:r>
        <w:t xml:space="preserve"> </w:t>
      </w:r>
    </w:p>
    <w:p w14:paraId="795E46C5" w14:textId="5E8AA728" w:rsidR="00B02BDE" w:rsidRPr="0035203F" w:rsidRDefault="00DC24C5" w:rsidP="00FE0F41">
      <w:pPr>
        <w:pStyle w:val="BodyText"/>
        <w:widowControl w:val="0"/>
        <w:tabs>
          <w:tab w:val="left" w:pos="851"/>
        </w:tabs>
        <w:spacing w:before="100" w:line="240" w:lineRule="auto"/>
        <w:ind w:firstLine="567"/>
        <w:rPr>
          <w:bCs w:val="0"/>
          <w:i/>
        </w:rPr>
      </w:pPr>
      <w:r w:rsidRPr="00DC24C5">
        <w:rPr>
          <w:bCs w:val="0"/>
          <w:i/>
          <w:spacing w:val="-2"/>
        </w:rPr>
        <w:t>b) Nhược điểm:</w:t>
      </w:r>
      <w:r>
        <w:rPr>
          <w:bCs w:val="0"/>
          <w:i/>
          <w:spacing w:val="-2"/>
        </w:rPr>
        <w:t xml:space="preserve"> (1) </w:t>
      </w:r>
      <w:r w:rsidRPr="00190F45">
        <w:t>Pháp luật về quy hoạch hiện hành quy định rất chặt chẽ đối với trường hợp điều chỉnh quy hoạch để hạn chế tình trạng tùy tiện trong quá trình triển khai, thực hiện quy hoạch. Việc quy định riêng các trường hợp điều chỉnh, hiệu đính (không cần thực hiện thủ tục điều chỉnh) quy hoạch khoáng sản có thể ảnh hưởng đến nguyên tắc nêu trên.</w:t>
      </w:r>
      <w:r>
        <w:t xml:space="preserve"> </w:t>
      </w:r>
      <w:r>
        <w:rPr>
          <w:i/>
        </w:rPr>
        <w:t xml:space="preserve">(2) </w:t>
      </w:r>
      <w:r w:rsidRPr="00190F45">
        <w:t>Phải có quy định ngay trong dự thảo Luật này về việc sửa đổi bổ sung một số điều của Luật Quy hoạch.</w:t>
      </w:r>
    </w:p>
    <w:p w14:paraId="629DAF0D" w14:textId="30CDE130" w:rsidR="0017448C" w:rsidRPr="0035203F" w:rsidRDefault="00AE240F" w:rsidP="00FE0F41">
      <w:pPr>
        <w:pStyle w:val="BodyText"/>
        <w:widowControl w:val="0"/>
        <w:tabs>
          <w:tab w:val="left" w:pos="851"/>
        </w:tabs>
        <w:spacing w:before="100" w:line="240" w:lineRule="auto"/>
        <w:ind w:firstLine="567"/>
        <w:rPr>
          <w:b/>
          <w:bCs w:val="0"/>
        </w:rPr>
      </w:pPr>
      <w:bookmarkStart w:id="3" w:name="_Hlk175380705"/>
      <w:r w:rsidRPr="0035203F">
        <w:rPr>
          <w:b/>
          <w:bCs w:val="0"/>
        </w:rPr>
        <w:t xml:space="preserve"> </w:t>
      </w:r>
      <w:r w:rsidR="00D57625" w:rsidRPr="0035203F">
        <w:rPr>
          <w:b/>
          <w:bCs w:val="0"/>
          <w:i/>
        </w:rPr>
        <w:t xml:space="preserve">Đa số ý kiến Thường trực Ủy ban </w:t>
      </w:r>
      <w:proofErr w:type="gramStart"/>
      <w:r w:rsidR="00D57625" w:rsidRPr="0035203F">
        <w:rPr>
          <w:b/>
          <w:bCs w:val="0"/>
          <w:i/>
        </w:rPr>
        <w:t>KH,CN</w:t>
      </w:r>
      <w:proofErr w:type="gramEnd"/>
      <w:r w:rsidR="00D57625" w:rsidRPr="0035203F">
        <w:rPr>
          <w:b/>
          <w:bCs w:val="0"/>
          <w:i/>
        </w:rPr>
        <w:t xml:space="preserve">&amp;MT đồng ý theo Phương án 2.  </w:t>
      </w:r>
    </w:p>
    <w:bookmarkEnd w:id="3"/>
    <w:p w14:paraId="6A13713C" w14:textId="2CAC21E9" w:rsidR="00AE240F" w:rsidRPr="0035203F" w:rsidRDefault="00AE240F" w:rsidP="00FE0F41">
      <w:pPr>
        <w:pStyle w:val="Heading1"/>
        <w:keepNext w:val="0"/>
        <w:widowControl w:val="0"/>
        <w:numPr>
          <w:ilvl w:val="0"/>
          <w:numId w:val="4"/>
        </w:numPr>
        <w:tabs>
          <w:tab w:val="num" w:pos="360"/>
          <w:tab w:val="left" w:pos="851"/>
        </w:tabs>
        <w:spacing w:before="100" w:after="0"/>
        <w:ind w:left="0" w:firstLine="567"/>
        <w:jc w:val="both"/>
        <w:rPr>
          <w:rFonts w:ascii="Times New Roman" w:hAnsi="Times New Roman" w:cs="Times New Roman"/>
          <w:sz w:val="28"/>
          <w:szCs w:val="28"/>
        </w:rPr>
      </w:pPr>
      <w:r w:rsidRPr="0035203F">
        <w:rPr>
          <w:rFonts w:ascii="Times New Roman" w:hAnsi="Times New Roman" w:cs="Times New Roman"/>
          <w:sz w:val="28"/>
          <w:szCs w:val="28"/>
        </w:rPr>
        <w:t>Về Hội đồng đánh giá trữ lượng khoáng sản (Điều 53)</w:t>
      </w:r>
    </w:p>
    <w:p w14:paraId="06EBEC48" w14:textId="02E077F4" w:rsidR="00AE240F" w:rsidRPr="00413A2F" w:rsidRDefault="00AE240F" w:rsidP="00FE0F41">
      <w:pPr>
        <w:pStyle w:val="BodyText"/>
        <w:widowControl w:val="0"/>
        <w:tabs>
          <w:tab w:val="left" w:pos="851"/>
        </w:tabs>
        <w:spacing w:before="100" w:line="240" w:lineRule="auto"/>
        <w:ind w:firstLine="567"/>
        <w:rPr>
          <w:rFonts w:ascii="Times New Roman Italic" w:hAnsi="Times New Roman Italic"/>
          <w:bCs w:val="0"/>
          <w:i/>
          <w:spacing w:val="-1"/>
        </w:rPr>
      </w:pPr>
      <w:r w:rsidRPr="00413A2F">
        <w:rPr>
          <w:rFonts w:ascii="Times New Roman Italic" w:hAnsi="Times New Roman Italic"/>
          <w:bCs w:val="0"/>
          <w:i/>
          <w:spacing w:val="-1"/>
        </w:rPr>
        <w:t xml:space="preserve">Có ý kiến đề nghị giữ quy định hiện hành </w:t>
      </w:r>
      <w:r w:rsidR="00413A2F" w:rsidRPr="00413A2F">
        <w:rPr>
          <w:rFonts w:ascii="Times New Roman Italic" w:hAnsi="Times New Roman Italic"/>
          <w:bCs w:val="0"/>
          <w:i/>
          <w:spacing w:val="-1"/>
        </w:rPr>
        <w:t xml:space="preserve">về </w:t>
      </w:r>
      <w:r w:rsidRPr="00413A2F">
        <w:rPr>
          <w:rFonts w:ascii="Times New Roman Italic" w:hAnsi="Times New Roman Italic"/>
          <w:bCs w:val="0"/>
          <w:i/>
          <w:spacing w:val="-1"/>
        </w:rPr>
        <w:t>Hội đồng đánh giá trữ lượng khoáng sản quốc gia để bảo đảm việc công nhận kết quả thăm dò khoáng sản khách quan, minh bạch</w:t>
      </w:r>
      <w:r w:rsidR="0017448C" w:rsidRPr="00413A2F">
        <w:rPr>
          <w:rFonts w:ascii="Times New Roman Italic" w:hAnsi="Times New Roman Italic"/>
          <w:bCs w:val="0"/>
          <w:i/>
          <w:spacing w:val="-1"/>
        </w:rPr>
        <w:t>;</w:t>
      </w:r>
      <w:r w:rsidRPr="00413A2F">
        <w:rPr>
          <w:rFonts w:ascii="Times New Roman Italic" w:hAnsi="Times New Roman Italic"/>
          <w:bCs w:val="0"/>
          <w:i/>
          <w:spacing w:val="-1"/>
        </w:rPr>
        <w:t xml:space="preserve"> làm rõ </w:t>
      </w:r>
      <w:r w:rsidR="00413A2F" w:rsidRPr="00413A2F">
        <w:rPr>
          <w:rFonts w:ascii="Times New Roman Italic" w:hAnsi="Times New Roman Italic"/>
          <w:bCs w:val="0"/>
          <w:i/>
          <w:spacing w:val="-1"/>
        </w:rPr>
        <w:t xml:space="preserve">trách nhiệm của </w:t>
      </w:r>
      <w:r w:rsidRPr="00413A2F">
        <w:rPr>
          <w:rFonts w:ascii="Times New Roman Italic" w:hAnsi="Times New Roman Italic"/>
          <w:bCs w:val="0"/>
          <w:i/>
          <w:spacing w:val="-1"/>
        </w:rPr>
        <w:t xml:space="preserve">Hội đồng đối với sai số </w:t>
      </w:r>
      <w:r w:rsidR="0017448C" w:rsidRPr="00413A2F">
        <w:rPr>
          <w:rFonts w:ascii="Times New Roman Italic" w:hAnsi="Times New Roman Italic"/>
          <w:bCs w:val="0"/>
          <w:i/>
          <w:spacing w:val="-1"/>
        </w:rPr>
        <w:t xml:space="preserve">trữ lượng </w:t>
      </w:r>
      <w:r w:rsidRPr="00413A2F">
        <w:rPr>
          <w:rFonts w:ascii="Times New Roman Italic" w:hAnsi="Times New Roman Italic"/>
          <w:bCs w:val="0"/>
          <w:i/>
          <w:spacing w:val="-1"/>
        </w:rPr>
        <w:t>quá lớn.</w:t>
      </w:r>
    </w:p>
    <w:p w14:paraId="23D445B3" w14:textId="4F40FE85" w:rsidR="00AE240F" w:rsidRPr="00EE4BF0" w:rsidRDefault="00D57625" w:rsidP="00FE0F41">
      <w:pPr>
        <w:pStyle w:val="BodyText"/>
        <w:widowControl w:val="0"/>
        <w:tabs>
          <w:tab w:val="left" w:pos="851"/>
        </w:tabs>
        <w:spacing w:before="100" w:line="240" w:lineRule="auto"/>
        <w:ind w:firstLine="567"/>
        <w:rPr>
          <w:bCs w:val="0"/>
        </w:rPr>
      </w:pPr>
      <w:r w:rsidRPr="00EE4BF0">
        <w:rPr>
          <w:b/>
          <w:bCs w:val="0"/>
        </w:rPr>
        <w:t xml:space="preserve">Tiếp thu </w:t>
      </w:r>
      <w:r w:rsidRPr="00EE4BF0">
        <w:rPr>
          <w:bCs w:val="0"/>
        </w:rPr>
        <w:t xml:space="preserve">ý kiến ĐBQH, Thường trực Ủy ban KH,CN&amp;MT đã chỉnh lý dự thảo Luật </w:t>
      </w:r>
      <w:r w:rsidRPr="00EE4BF0">
        <w:rPr>
          <w:bCs w:val="0"/>
          <w:i/>
        </w:rPr>
        <w:t>theo hướng tiếp tục quy định về Hội đồng đánh giá trữ lượng khoáng sản quốc gia</w:t>
      </w:r>
      <w:r w:rsidRPr="00EE4BF0">
        <w:rPr>
          <w:bCs w:val="0"/>
        </w:rPr>
        <w:t xml:space="preserve"> như Luật Khoáng sản năm 2010, </w:t>
      </w:r>
      <w:r w:rsidR="001217D9" w:rsidRPr="00EE4BF0">
        <w:rPr>
          <w:bCs w:val="0"/>
        </w:rPr>
        <w:t>vì</w:t>
      </w:r>
      <w:r w:rsidRPr="00EE4BF0">
        <w:rPr>
          <w:bCs w:val="0"/>
        </w:rPr>
        <w:t xml:space="preserve"> các lý do sau: </w:t>
      </w:r>
      <w:r w:rsidRPr="00EE4BF0">
        <w:rPr>
          <w:bCs w:val="0"/>
          <w:i/>
        </w:rPr>
        <w:t>(i)</w:t>
      </w:r>
      <w:r w:rsidRPr="00EE4BF0">
        <w:rPr>
          <w:bCs w:val="0"/>
        </w:rPr>
        <w:t xml:space="preserve"> Hội đồng đánh giá trữ lượng khoáng sản quốc gia được thành lập từ năm 1970; </w:t>
      </w:r>
      <w:r w:rsidRPr="00EE4BF0">
        <w:rPr>
          <w:bCs w:val="0"/>
          <w:i/>
        </w:rPr>
        <w:t>(ii)</w:t>
      </w:r>
      <w:r w:rsidRPr="00EE4BF0">
        <w:rPr>
          <w:bCs w:val="0"/>
        </w:rPr>
        <w:t xml:space="preserve"> Tài nguyên khoáng sản là tài sản công, do Nhà nước thống nhất quản lý; trước khi giao tài sản cho tổ chức, cá nhân khai thác thì Nhà nước phải xác định được loại, quy mô, giá trị mỏ khoáng sản thông qua công tác công nhận trữ lượng; </w:t>
      </w:r>
      <w:r w:rsidRPr="00EE4BF0">
        <w:rPr>
          <w:bCs w:val="0"/>
          <w:i/>
        </w:rPr>
        <w:t>(iii)</w:t>
      </w:r>
      <w:r w:rsidRPr="00EE4BF0">
        <w:rPr>
          <w:bCs w:val="0"/>
        </w:rPr>
        <w:t xml:space="preserve"> Trữ lượng được công nhận liên quan đến nhiều thông tin chuyên ngành sâu về kinh tế, công nghệ, môi trường. </w:t>
      </w:r>
      <w:r w:rsidR="002511C8" w:rsidRPr="00EE4BF0">
        <w:rPr>
          <w:bCs w:val="0"/>
        </w:rPr>
        <w:t>Đ</w:t>
      </w:r>
      <w:r w:rsidRPr="00EE4BF0">
        <w:rPr>
          <w:bCs w:val="0"/>
        </w:rPr>
        <w:t xml:space="preserve">ể bảo đảm tính khách quan, toàn diện, yêu cầu phản biện thì cần có sự tham gia của các Bộ: Công Thương, Kế hoạch và Đầu tư, Xây dựng, Khoa học và Công nghệ; các nhà khoa học, chuyên gia. </w:t>
      </w:r>
      <w:r w:rsidRPr="00EE4BF0">
        <w:rPr>
          <w:bCs w:val="0"/>
          <w:i/>
        </w:rPr>
        <w:t>Vì vậy,</w:t>
      </w:r>
      <w:r w:rsidRPr="00EE4BF0">
        <w:rPr>
          <w:bCs w:val="0"/>
        </w:rPr>
        <w:t xml:space="preserve"> cần phải có một cơ quan nhà nước độc lập, chịu trách nhiệm công nhận báo cáo kết quả thăm dò. Việc tiếp tục duy trì hoạt động của Hội đồng không làm phát sinh bộ máy, biên chế.</w:t>
      </w:r>
      <w:r w:rsidR="004074CD" w:rsidRPr="00EE4BF0">
        <w:rPr>
          <w:bCs w:val="0"/>
        </w:rPr>
        <w:t xml:space="preserve"> </w:t>
      </w:r>
    </w:p>
    <w:p w14:paraId="06F447A5" w14:textId="148CDA36" w:rsidR="001217D9" w:rsidRPr="0035203F" w:rsidRDefault="001217D9" w:rsidP="00413A2F">
      <w:pPr>
        <w:pStyle w:val="BodyText"/>
        <w:widowControl w:val="0"/>
        <w:tabs>
          <w:tab w:val="left" w:pos="851"/>
        </w:tabs>
        <w:spacing w:before="100" w:line="240" w:lineRule="auto"/>
        <w:ind w:firstLine="567"/>
        <w:rPr>
          <w:bCs w:val="0"/>
          <w:spacing w:val="-1"/>
        </w:rPr>
      </w:pPr>
      <w:r w:rsidRPr="001217D9">
        <w:rPr>
          <w:bCs w:val="0"/>
          <w:i/>
          <w:iCs/>
          <w:spacing w:val="-1"/>
        </w:rPr>
        <w:t>Bên cạnh đó,</w:t>
      </w:r>
      <w:r w:rsidRPr="001217D9">
        <w:rPr>
          <w:bCs w:val="0"/>
          <w:spacing w:val="-1"/>
        </w:rPr>
        <w:t xml:space="preserve"> chất lượng phê duyệt trữ lượng khoáng sản phụ thuộc vào nhiều hoạt động, kết quả thăm dò trữ lượng khoáng sản có độ tin cậy nhất định, mức độ sai số có thể từ 20% đến 50% tùy theo cấp trữ lượng thăm dò. </w:t>
      </w:r>
      <w:r w:rsidR="00413A2F" w:rsidRPr="00190F45">
        <w:rPr>
          <w:rFonts w:eastAsia="Calibri"/>
          <w:spacing w:val="3"/>
        </w:rPr>
        <w:t xml:space="preserve">Thành viên của Hội đồng chịu trách nhiệm về ý kiến, quan điểm trước Hội đồng và Hội đồng chịu trách nhiệm về thực hiện nhiệm vụ, quyền hạn </w:t>
      </w:r>
      <w:r w:rsidR="00413A2F">
        <w:rPr>
          <w:rFonts w:eastAsia="Calibri"/>
          <w:spacing w:val="3"/>
        </w:rPr>
        <w:t>của mình</w:t>
      </w:r>
      <w:r w:rsidR="00413A2F" w:rsidRPr="00190F45">
        <w:rPr>
          <w:rFonts w:eastAsia="Calibri"/>
          <w:spacing w:val="3"/>
        </w:rPr>
        <w:t>.</w:t>
      </w:r>
      <w:r>
        <w:rPr>
          <w:bCs w:val="0"/>
          <w:spacing w:val="-1"/>
        </w:rPr>
        <w:t xml:space="preserve"> </w:t>
      </w:r>
      <w:r w:rsidRPr="00190F45">
        <w:rPr>
          <w:b/>
          <w:spacing w:val="-2"/>
        </w:rPr>
        <w:t>Tiếp thu</w:t>
      </w:r>
      <w:r w:rsidRPr="00190F45">
        <w:rPr>
          <w:spacing w:val="-2"/>
        </w:rPr>
        <w:t xml:space="preserve"> ý kiến UBTVQH, dự thảo Luật đã chỉnh lý Điều 53 giao Chính phủ quy định tổ chức và hoạt động của Hội đồng; nhiệm vụ, quyền hạn và trách nhiệm của Hội đồng và các thành viên Hội đồng.</w:t>
      </w:r>
    </w:p>
    <w:p w14:paraId="242EFC5E" w14:textId="3D7C4564" w:rsidR="00AE240F" w:rsidRPr="0035203F" w:rsidRDefault="00D57625" w:rsidP="00FE0F41">
      <w:pPr>
        <w:pStyle w:val="Heading2"/>
        <w:keepNext w:val="0"/>
        <w:widowControl w:val="0"/>
        <w:numPr>
          <w:ilvl w:val="0"/>
          <w:numId w:val="4"/>
        </w:numPr>
        <w:tabs>
          <w:tab w:val="num" w:pos="360"/>
          <w:tab w:val="left" w:pos="851"/>
          <w:tab w:val="left" w:pos="993"/>
        </w:tabs>
        <w:spacing w:before="100" w:after="0"/>
        <w:ind w:left="0" w:firstLine="567"/>
        <w:jc w:val="both"/>
        <w:rPr>
          <w:rFonts w:ascii="Times New Roman" w:hAnsi="Times New Roman"/>
          <w:i w:val="0"/>
          <w:iCs w:val="0"/>
        </w:rPr>
      </w:pPr>
      <w:r w:rsidRPr="0035203F">
        <w:rPr>
          <w:rFonts w:ascii="Times New Roman" w:hAnsi="Times New Roman"/>
          <w:i w:val="0"/>
          <w:iCs w:val="0"/>
        </w:rPr>
        <w:t>Về k</w:t>
      </w:r>
      <w:r w:rsidR="00AE240F" w:rsidRPr="0035203F">
        <w:rPr>
          <w:rFonts w:ascii="Times New Roman" w:hAnsi="Times New Roman"/>
          <w:i w:val="0"/>
          <w:iCs w:val="0"/>
        </w:rPr>
        <w:t>hai thác khoáng sản nhóm IV</w:t>
      </w:r>
      <w:r w:rsidR="00F07281" w:rsidRPr="0035203F">
        <w:rPr>
          <w:rFonts w:ascii="Times New Roman" w:hAnsi="Times New Roman"/>
          <w:i w:val="0"/>
          <w:iCs w:val="0"/>
        </w:rPr>
        <w:t xml:space="preserve"> (Điều 76 và Điều 77)</w:t>
      </w:r>
    </w:p>
    <w:p w14:paraId="19D3FBC1" w14:textId="19BE5142" w:rsidR="00D57625" w:rsidRPr="0035203F" w:rsidRDefault="00D57625" w:rsidP="00FE0F41">
      <w:pPr>
        <w:pStyle w:val="BodyText"/>
        <w:widowControl w:val="0"/>
        <w:tabs>
          <w:tab w:val="left" w:pos="851"/>
        </w:tabs>
        <w:spacing w:before="100" w:line="240" w:lineRule="auto"/>
        <w:ind w:firstLine="567"/>
        <w:rPr>
          <w:bCs w:val="0"/>
          <w:i/>
        </w:rPr>
      </w:pPr>
      <w:r w:rsidRPr="0035203F">
        <w:rPr>
          <w:bCs w:val="0"/>
          <w:i/>
        </w:rPr>
        <w:t xml:space="preserve">Có ý kiến đề nghị đánh giá kỹ tác động và cân nhắc không nên bỏ quy định về thủ tục cấp phép thăm dò, khai thác, nhất là đối với khoáng sản làm vật liệu san </w:t>
      </w:r>
      <w:r w:rsidRPr="0035203F">
        <w:rPr>
          <w:bCs w:val="0"/>
          <w:i/>
        </w:rPr>
        <w:lastRenderedPageBreak/>
        <w:t>lấp; rà soát khoáng sản đưa vào nhóm IV, khoáng sản nào đặc thù và cần thiết thì vẫn cấp phép thay vì chỉ đăng ký, có thể ủy quyền cấp phép ở cấp huyện.</w:t>
      </w:r>
    </w:p>
    <w:p w14:paraId="16856DA3" w14:textId="55827E82" w:rsidR="004074CD" w:rsidRPr="00EE4BF0" w:rsidRDefault="004074CD" w:rsidP="00FE0F41">
      <w:pPr>
        <w:pStyle w:val="BodyText"/>
        <w:widowControl w:val="0"/>
        <w:tabs>
          <w:tab w:val="left" w:pos="851"/>
        </w:tabs>
        <w:spacing w:before="100" w:line="240" w:lineRule="auto"/>
        <w:ind w:firstLine="567"/>
        <w:rPr>
          <w:rFonts w:eastAsia="Calibri"/>
          <w:lang w:val="vi-VN"/>
        </w:rPr>
      </w:pPr>
      <w:r w:rsidRPr="00EE4BF0">
        <w:rPr>
          <w:rFonts w:eastAsia="Calibri"/>
          <w:lang w:val="vi-VN"/>
        </w:rPr>
        <w:t xml:space="preserve">Về nội dung này, Thường trực Ủy ban KH,CN&amp;MT xin báo cáo: Quy định về đăng ký khai thác khoáng sản nhóm IV (Điều 76, Điều 77) là nội dung mới về cải cách thủ tục hành chính nhằm đơn giản hóa trình tự, thủ tục hành chính so với hiện hành. </w:t>
      </w:r>
      <w:r w:rsidR="00EE4BF0">
        <w:rPr>
          <w:bCs w:val="0"/>
        </w:rPr>
        <w:t>Đây</w:t>
      </w:r>
      <w:r w:rsidRPr="00EE4BF0">
        <w:rPr>
          <w:bCs w:val="0"/>
        </w:rPr>
        <w:t xml:space="preserve"> là khoáng sản có công nghệ khai thác đơn giản, nhu cầu sử dụng có tính thời điểm, đặc biệt là phục vụ công trình, dự án quan trọng quốc gia, dự án đầu tư công khẩn cấp. Do đó, cần có quy trình cho phép khai thác đơn giản, rút gọn thông qua thủ tục đăng ký.</w:t>
      </w:r>
      <w:r w:rsidR="00A72476" w:rsidRPr="00EE4BF0">
        <w:rPr>
          <w:bCs w:val="0"/>
        </w:rPr>
        <w:t xml:space="preserve"> </w:t>
      </w:r>
      <w:r w:rsidR="00A72476" w:rsidRPr="00EE4BF0">
        <w:rPr>
          <w:b/>
          <w:bCs w:val="0"/>
        </w:rPr>
        <w:t>Tiếp thu</w:t>
      </w:r>
      <w:r w:rsidR="00A72476" w:rsidRPr="00EE4BF0">
        <w:rPr>
          <w:bCs w:val="0"/>
        </w:rPr>
        <w:t xml:space="preserve"> ý kiến của ĐBQH, </w:t>
      </w:r>
      <w:r w:rsidR="00A72476" w:rsidRPr="00EE4BF0">
        <w:t>khoản 1 Điều 76</w:t>
      </w:r>
      <w:r w:rsidR="00A72476" w:rsidRPr="00EE4BF0">
        <w:rPr>
          <w:b/>
        </w:rPr>
        <w:t xml:space="preserve"> </w:t>
      </w:r>
      <w:r w:rsidR="00A72476" w:rsidRPr="00EE4BF0">
        <w:t xml:space="preserve">chỉnh sửa theo hướng quy định </w:t>
      </w:r>
      <w:r w:rsidR="00A72476" w:rsidRPr="00EE4BF0">
        <w:rPr>
          <w:i/>
          <w:iCs/>
        </w:rPr>
        <w:t xml:space="preserve">việc cấp </w:t>
      </w:r>
      <w:r w:rsidR="00A72476" w:rsidRPr="00EE4BF0">
        <w:rPr>
          <w:i/>
          <w:iCs/>
          <w:lang w:val="vi-VN"/>
        </w:rPr>
        <w:t xml:space="preserve">phép khai thác khoáng sản </w:t>
      </w:r>
      <w:r w:rsidR="00A72476" w:rsidRPr="00EE4BF0">
        <w:rPr>
          <w:i/>
          <w:iCs/>
        </w:rPr>
        <w:t xml:space="preserve">được </w:t>
      </w:r>
      <w:r w:rsidR="00A72476" w:rsidRPr="00EE4BF0">
        <w:rPr>
          <w:i/>
          <w:iCs/>
          <w:lang w:val="vi-VN"/>
        </w:rPr>
        <w:t xml:space="preserve">thực hiện </w:t>
      </w:r>
      <w:r w:rsidR="00A72476" w:rsidRPr="00EE4BF0">
        <w:rPr>
          <w:i/>
          <w:iCs/>
        </w:rPr>
        <w:t xml:space="preserve">theo hình thức </w:t>
      </w:r>
      <w:r w:rsidR="00A72476" w:rsidRPr="00EE4BF0">
        <w:rPr>
          <w:i/>
          <w:iCs/>
          <w:lang w:val="vi-VN"/>
        </w:rPr>
        <w:t>đăng ký hoạt động khai thác</w:t>
      </w:r>
      <w:r w:rsidR="00A72476" w:rsidRPr="00EE4BF0">
        <w:t xml:space="preserve"> để thống nhất, đồng bộ với Bộ luật Hình sự. </w:t>
      </w:r>
      <w:r w:rsidRPr="00EE4BF0">
        <w:rPr>
          <w:bCs w:val="0"/>
        </w:rPr>
        <w:t xml:space="preserve">Dự thảo Luật không giao quyền xác nhận đăng ký khai thác khoáng sản nhóm IV cho UBND cấp huyện mà </w:t>
      </w:r>
      <w:r w:rsidR="002511C8" w:rsidRPr="00EE4BF0">
        <w:rPr>
          <w:bCs w:val="0"/>
        </w:rPr>
        <w:t xml:space="preserve">giao </w:t>
      </w:r>
      <w:r w:rsidRPr="00EE4BF0">
        <w:rPr>
          <w:bCs w:val="0"/>
        </w:rPr>
        <w:t>UBND cấp tỉnh</w:t>
      </w:r>
      <w:r w:rsidR="000F4D9B" w:rsidRPr="00EE4BF0">
        <w:rPr>
          <w:bCs w:val="0"/>
        </w:rPr>
        <w:t xml:space="preserve"> để phù hợp khả năng nhân lực ở cấp huyện</w:t>
      </w:r>
      <w:r w:rsidRPr="00EE4BF0">
        <w:rPr>
          <w:bCs w:val="0"/>
        </w:rPr>
        <w:t>.</w:t>
      </w:r>
    </w:p>
    <w:p w14:paraId="0272AE34" w14:textId="17B57DF4" w:rsidR="00AE240F" w:rsidRPr="0035203F" w:rsidRDefault="00F07281" w:rsidP="00FE0F41">
      <w:pPr>
        <w:pStyle w:val="Heading2"/>
        <w:keepNext w:val="0"/>
        <w:widowControl w:val="0"/>
        <w:numPr>
          <w:ilvl w:val="0"/>
          <w:numId w:val="4"/>
        </w:numPr>
        <w:tabs>
          <w:tab w:val="num" w:pos="360"/>
          <w:tab w:val="left" w:pos="851"/>
          <w:tab w:val="left" w:pos="993"/>
        </w:tabs>
        <w:spacing w:before="100" w:after="0"/>
        <w:ind w:left="0" w:firstLine="567"/>
        <w:jc w:val="both"/>
        <w:rPr>
          <w:rFonts w:ascii="Times New Roman" w:hAnsi="Times New Roman"/>
          <w:i w:val="0"/>
          <w:iCs w:val="0"/>
        </w:rPr>
      </w:pPr>
      <w:r w:rsidRPr="0035203F">
        <w:rPr>
          <w:rFonts w:ascii="Times New Roman" w:hAnsi="Times New Roman"/>
          <w:i w:val="0"/>
          <w:iCs w:val="0"/>
        </w:rPr>
        <w:t>Về t</w:t>
      </w:r>
      <w:r w:rsidR="00AE240F" w:rsidRPr="0035203F">
        <w:rPr>
          <w:rFonts w:ascii="Times New Roman" w:hAnsi="Times New Roman"/>
          <w:i w:val="0"/>
          <w:iCs w:val="0"/>
        </w:rPr>
        <w:t xml:space="preserve">iền cấp quyền khai thác khoáng sản </w:t>
      </w:r>
      <w:r w:rsidR="00AE240F" w:rsidRPr="0035203F">
        <w:rPr>
          <w:rFonts w:ascii="Times New Roman" w:hAnsi="Times New Roman"/>
          <w:i w:val="0"/>
        </w:rPr>
        <w:t>(Điều 102)</w:t>
      </w:r>
    </w:p>
    <w:p w14:paraId="0491A05D" w14:textId="12383E4C" w:rsidR="00AE240F" w:rsidRPr="0035203F" w:rsidRDefault="00AE240F" w:rsidP="00FE0F41">
      <w:pPr>
        <w:pStyle w:val="BodyText"/>
        <w:widowControl w:val="0"/>
        <w:tabs>
          <w:tab w:val="left" w:pos="851"/>
        </w:tabs>
        <w:spacing w:before="100" w:line="240" w:lineRule="auto"/>
        <w:ind w:firstLine="567"/>
        <w:rPr>
          <w:bCs w:val="0"/>
          <w:i/>
        </w:rPr>
      </w:pPr>
      <w:r w:rsidRPr="0035203F">
        <w:rPr>
          <w:bCs w:val="0"/>
          <w:i/>
        </w:rPr>
        <w:t>Có ý kiến cho rằng quy định về tiền cấp quyền là không khả thi và chưa phù hợp với thực tiễn; một số ý kiến đề nghị bỏ nội dung thu tiền cấp quyền khai thác khoáng sản, đồng thời xem xét tăng mức thu thuế tài nguyên khoáng sản.</w:t>
      </w:r>
    </w:p>
    <w:p w14:paraId="2DEB5262" w14:textId="7A64B0AF" w:rsidR="00F07281" w:rsidRPr="0035203F" w:rsidRDefault="00AE240F" w:rsidP="00410024">
      <w:pPr>
        <w:pStyle w:val="BodyText"/>
        <w:widowControl w:val="0"/>
        <w:tabs>
          <w:tab w:val="left" w:pos="851"/>
        </w:tabs>
        <w:spacing w:before="80" w:line="240" w:lineRule="auto"/>
        <w:ind w:firstLine="567"/>
        <w:rPr>
          <w:bCs w:val="0"/>
          <w:spacing w:val="-2"/>
        </w:rPr>
      </w:pPr>
      <w:r w:rsidRPr="0035203F">
        <w:rPr>
          <w:spacing w:val="-2"/>
        </w:rPr>
        <w:t xml:space="preserve">Thường trực Ủy ban </w:t>
      </w:r>
      <w:proofErr w:type="gramStart"/>
      <w:r w:rsidRPr="0035203F">
        <w:rPr>
          <w:spacing w:val="-2"/>
        </w:rPr>
        <w:t>KH,CN</w:t>
      </w:r>
      <w:proofErr w:type="gramEnd"/>
      <w:r w:rsidRPr="0035203F">
        <w:rPr>
          <w:spacing w:val="-2"/>
        </w:rPr>
        <w:t>&amp;MT xin báo cáo</w:t>
      </w:r>
      <w:r w:rsidRPr="0035203F">
        <w:rPr>
          <w:bCs w:val="0"/>
          <w:spacing w:val="-2"/>
        </w:rPr>
        <w:t>:</w:t>
      </w:r>
      <w:r w:rsidR="00630C13" w:rsidRPr="0035203F">
        <w:rPr>
          <w:bCs w:val="0"/>
          <w:spacing w:val="-2"/>
        </w:rPr>
        <w:t xml:space="preserve"> </w:t>
      </w:r>
      <w:r w:rsidR="004074CD" w:rsidRPr="0035203F">
        <w:rPr>
          <w:bCs w:val="0"/>
          <w:spacing w:val="-2"/>
        </w:rPr>
        <w:t>Q</w:t>
      </w:r>
      <w:r w:rsidR="00F07281" w:rsidRPr="0035203F">
        <w:rPr>
          <w:bCs w:val="0"/>
          <w:spacing w:val="-2"/>
        </w:rPr>
        <w:t>ua hơn 13 năm triển khai quy định về “</w:t>
      </w:r>
      <w:r w:rsidR="00F07281" w:rsidRPr="0035203F">
        <w:rPr>
          <w:bCs w:val="0"/>
          <w:i/>
          <w:spacing w:val="-2"/>
        </w:rPr>
        <w:t>Tiền cấp quyền khai thác khoáng sản</w:t>
      </w:r>
      <w:r w:rsidR="00F07281" w:rsidRPr="0035203F">
        <w:rPr>
          <w:bCs w:val="0"/>
          <w:spacing w:val="-2"/>
        </w:rPr>
        <w:t xml:space="preserve">” cho thấy, giải pháp </w:t>
      </w:r>
      <w:r w:rsidR="002511C8" w:rsidRPr="0035203F">
        <w:rPr>
          <w:bCs w:val="0"/>
          <w:spacing w:val="-2"/>
        </w:rPr>
        <w:t xml:space="preserve">này đã </w:t>
      </w:r>
      <w:r w:rsidR="00F07281" w:rsidRPr="0035203F">
        <w:rPr>
          <w:bCs w:val="0"/>
          <w:spacing w:val="-2"/>
        </w:rPr>
        <w:t xml:space="preserve">hạn chế đầu cơ, giữ mỏ để chuyển nhượng, lựa chọn nhà đầu tư có đủ năng lực về tài chính, bảo đảm trách nhiệm của tổ chức, cá nhân được giao quyền khai thác, đồng thời </w:t>
      </w:r>
      <w:r w:rsidR="004074CD" w:rsidRPr="0035203F">
        <w:rPr>
          <w:bCs w:val="0"/>
          <w:spacing w:val="-2"/>
        </w:rPr>
        <w:t>đây</w:t>
      </w:r>
      <w:r w:rsidR="00F07281" w:rsidRPr="0035203F">
        <w:rPr>
          <w:bCs w:val="0"/>
          <w:spacing w:val="-2"/>
        </w:rPr>
        <w:t xml:space="preserve"> là một nguồn thu đáng kể cho ngân sách nhà nước. Qua tổng kết cho thấy, quy định </w:t>
      </w:r>
      <w:r w:rsidR="00FE0F41">
        <w:rPr>
          <w:bCs w:val="0"/>
          <w:spacing w:val="-2"/>
        </w:rPr>
        <w:t xml:space="preserve">này </w:t>
      </w:r>
      <w:r w:rsidR="00F07281" w:rsidRPr="0035203F">
        <w:rPr>
          <w:bCs w:val="0"/>
          <w:spacing w:val="-2"/>
        </w:rPr>
        <w:t>vẫn khả thi, phù hợp</w:t>
      </w:r>
      <w:r w:rsidR="00FE0F41">
        <w:rPr>
          <w:bCs w:val="0"/>
          <w:spacing w:val="-2"/>
        </w:rPr>
        <w:t xml:space="preserve">, </w:t>
      </w:r>
      <w:r w:rsidR="00F07281" w:rsidRPr="0035203F">
        <w:rPr>
          <w:bCs w:val="0"/>
          <w:spacing w:val="-2"/>
        </w:rPr>
        <w:t xml:space="preserve">chưa thể bỏ để tăng mức thuế tài nguyên. </w:t>
      </w:r>
      <w:r w:rsidR="004074CD" w:rsidRPr="0035203F">
        <w:rPr>
          <w:bCs w:val="0"/>
          <w:spacing w:val="-2"/>
        </w:rPr>
        <w:t>D</w:t>
      </w:r>
      <w:r w:rsidR="00F07281" w:rsidRPr="0035203F">
        <w:rPr>
          <w:bCs w:val="0"/>
          <w:spacing w:val="-2"/>
        </w:rPr>
        <w:t>ự thảo Luật quy định theo hướng thu tiền cấp quyền khai thác khoáng sản theo năm và được quyết toán theo sản lượng khai thác thực tế</w:t>
      </w:r>
      <w:r w:rsidR="004074CD" w:rsidRPr="0035203F">
        <w:rPr>
          <w:bCs w:val="0"/>
          <w:spacing w:val="-2"/>
        </w:rPr>
        <w:t xml:space="preserve">; do vậy </w:t>
      </w:r>
      <w:r w:rsidR="00F07281" w:rsidRPr="0035203F">
        <w:rPr>
          <w:bCs w:val="0"/>
          <w:spacing w:val="-2"/>
        </w:rPr>
        <w:t>tiền cấp quyền sẽ không bị ảnh hưởng bởi yếu tố liên quan tới trữ lượng địa chất, trữ lượng không được khai thác</w:t>
      </w:r>
      <w:r w:rsidR="00FE0F41">
        <w:rPr>
          <w:bCs w:val="0"/>
          <w:spacing w:val="-2"/>
        </w:rPr>
        <w:t>,</w:t>
      </w:r>
      <w:r w:rsidR="00F07281" w:rsidRPr="0035203F">
        <w:rPr>
          <w:bCs w:val="0"/>
          <w:spacing w:val="-2"/>
        </w:rPr>
        <w:t xml:space="preserve"> không thể khai thác hết</w:t>
      </w:r>
      <w:r w:rsidR="00FE0F41">
        <w:rPr>
          <w:bCs w:val="0"/>
          <w:spacing w:val="-2"/>
        </w:rPr>
        <w:t>,</w:t>
      </w:r>
      <w:r w:rsidR="00F07281" w:rsidRPr="0035203F">
        <w:rPr>
          <w:bCs w:val="0"/>
          <w:spacing w:val="-2"/>
        </w:rPr>
        <w:t xml:space="preserve"> vì lý do khách quan chưa đưa mỏ vào khai thác. </w:t>
      </w:r>
    </w:p>
    <w:p w14:paraId="02E45573" w14:textId="77777777" w:rsidR="00AE240F" w:rsidRPr="0035203F" w:rsidRDefault="00AE240F" w:rsidP="00FE0F41">
      <w:pPr>
        <w:pStyle w:val="Heading2"/>
        <w:keepNext w:val="0"/>
        <w:widowControl w:val="0"/>
        <w:numPr>
          <w:ilvl w:val="0"/>
          <w:numId w:val="4"/>
        </w:numPr>
        <w:tabs>
          <w:tab w:val="num" w:pos="360"/>
          <w:tab w:val="left" w:pos="851"/>
          <w:tab w:val="left" w:pos="993"/>
        </w:tabs>
        <w:spacing w:before="100" w:after="0"/>
        <w:ind w:left="0" w:firstLine="567"/>
        <w:jc w:val="both"/>
        <w:rPr>
          <w:rFonts w:ascii="Times New Roman Bold" w:hAnsi="Times New Roman Bold"/>
          <w:i w:val="0"/>
          <w:iCs w:val="0"/>
          <w:spacing w:val="-4"/>
        </w:rPr>
      </w:pPr>
      <w:r w:rsidRPr="0035203F">
        <w:rPr>
          <w:rFonts w:ascii="Times New Roman Bold" w:hAnsi="Times New Roman Bold"/>
          <w:i w:val="0"/>
          <w:iCs w:val="0"/>
          <w:spacing w:val="-4"/>
        </w:rPr>
        <w:t>Về khu vực đấu giá, không đấu giá quyền khai thác khoáng sản (Điều 104)</w:t>
      </w:r>
    </w:p>
    <w:p w14:paraId="28E395C0" w14:textId="4E60DD96" w:rsidR="00F07281" w:rsidRPr="0035203F" w:rsidRDefault="00F07281" w:rsidP="00410024">
      <w:pPr>
        <w:pStyle w:val="BodyText"/>
        <w:tabs>
          <w:tab w:val="left" w:pos="851"/>
        </w:tabs>
        <w:spacing w:before="80" w:line="240" w:lineRule="auto"/>
        <w:ind w:firstLine="567"/>
        <w:rPr>
          <w:bCs w:val="0"/>
        </w:rPr>
      </w:pPr>
      <w:r w:rsidRPr="0035203F">
        <w:rPr>
          <w:bCs w:val="0"/>
          <w:i/>
        </w:rPr>
        <w:t>- Có ý kiến đề nghị tất cả quyền khai thác khoáng sản phải được cấp thông qua đấu giá quyền khai thác khoáng sản hoặc chỉ giữ khu vực không phải đấu giá đối với những loại khoáng sản mang tính chiến lược như năng lượng, phóng xạ.</w:t>
      </w:r>
      <w:r w:rsidR="00FE0F41">
        <w:rPr>
          <w:bCs w:val="0"/>
          <w:i/>
        </w:rPr>
        <w:t xml:space="preserve"> </w:t>
      </w:r>
      <w:r w:rsidRPr="0035203F">
        <w:rPr>
          <w:b/>
          <w:bCs w:val="0"/>
        </w:rPr>
        <w:t xml:space="preserve">Tiếp thu </w:t>
      </w:r>
      <w:r w:rsidRPr="0035203F">
        <w:rPr>
          <w:bCs w:val="0"/>
        </w:rPr>
        <w:t>ý</w:t>
      </w:r>
      <w:r w:rsidRPr="0035203F">
        <w:rPr>
          <w:b/>
          <w:bCs w:val="0"/>
        </w:rPr>
        <w:t xml:space="preserve"> </w:t>
      </w:r>
      <w:r w:rsidRPr="0035203F">
        <w:rPr>
          <w:bCs w:val="0"/>
        </w:rPr>
        <w:t>kiến của ĐBQH</w:t>
      </w:r>
      <w:r w:rsidR="00EE4BF0">
        <w:rPr>
          <w:bCs w:val="0"/>
        </w:rPr>
        <w:t xml:space="preserve">, </w:t>
      </w:r>
      <w:r w:rsidRPr="0035203F">
        <w:rPr>
          <w:bCs w:val="0"/>
        </w:rPr>
        <w:t>dự thảo Luật đã chỉnh lý tại khoản 2 Điều 104</w:t>
      </w:r>
      <w:r w:rsidR="00EE4BF0">
        <w:rPr>
          <w:bCs w:val="0"/>
        </w:rPr>
        <w:t xml:space="preserve"> </w:t>
      </w:r>
      <w:r w:rsidR="00EE4BF0" w:rsidRPr="0035203F">
        <w:rPr>
          <w:bCs w:val="0"/>
        </w:rPr>
        <w:t>thu hẹp phạm vi, đối tượng khu vực không đấu giá</w:t>
      </w:r>
      <w:r w:rsidR="004074CD" w:rsidRPr="0035203F">
        <w:rPr>
          <w:bCs w:val="0"/>
        </w:rPr>
        <w:t xml:space="preserve">; </w:t>
      </w:r>
      <w:r w:rsidRPr="0035203F">
        <w:rPr>
          <w:bCs w:val="0"/>
        </w:rPr>
        <w:t>bỏ tiêu chí khu vực không đấu giá là “khoáng sản được quy hoạch là nguồn nguyên liệu cho các dự án chế biến sản phẩm công nghiệp theo quy hoạch khoáng sản”.</w:t>
      </w:r>
    </w:p>
    <w:p w14:paraId="10FEFD4A" w14:textId="11626DB5" w:rsidR="00AE240F" w:rsidRDefault="00F07281" w:rsidP="00410024">
      <w:pPr>
        <w:pStyle w:val="BodyText"/>
        <w:widowControl w:val="0"/>
        <w:tabs>
          <w:tab w:val="left" w:pos="851"/>
        </w:tabs>
        <w:spacing w:before="80" w:line="240" w:lineRule="auto"/>
        <w:ind w:firstLine="567"/>
        <w:rPr>
          <w:bCs w:val="0"/>
        </w:rPr>
      </w:pPr>
      <w:r w:rsidRPr="0035203F">
        <w:rPr>
          <w:i/>
          <w:iCs/>
        </w:rPr>
        <w:t>- Có ý kiến đề nghị thực hiện đấu thầu dự án khai thác khoáng sản</w:t>
      </w:r>
      <w:r w:rsidRPr="0035203F">
        <w:rPr>
          <w:bCs w:val="0"/>
          <w:i/>
        </w:rPr>
        <w:t>.</w:t>
      </w:r>
      <w:r w:rsidRPr="0035203F">
        <w:rPr>
          <w:bCs w:val="0"/>
        </w:rPr>
        <w:t xml:space="preserve"> </w:t>
      </w:r>
      <w:r w:rsidRPr="0035203F">
        <w:t xml:space="preserve">Thường trực Ủy ban </w:t>
      </w:r>
      <w:proofErr w:type="gramStart"/>
      <w:r w:rsidRPr="0035203F">
        <w:t>KH,CN</w:t>
      </w:r>
      <w:proofErr w:type="gramEnd"/>
      <w:r w:rsidRPr="0035203F">
        <w:t xml:space="preserve">&amp;MT xin báo cáo: </w:t>
      </w:r>
      <w:r w:rsidR="00D67CA3">
        <w:rPr>
          <w:bCs w:val="0"/>
        </w:rPr>
        <w:t>Đ</w:t>
      </w:r>
      <w:r w:rsidRPr="0035203F">
        <w:rPr>
          <w:bCs w:val="0"/>
        </w:rPr>
        <w:t>ây là chính sách mới, rất phức tạp</w:t>
      </w:r>
      <w:r w:rsidR="00FE0F41">
        <w:rPr>
          <w:bCs w:val="0"/>
        </w:rPr>
        <w:t>; vi</w:t>
      </w:r>
      <w:r w:rsidRPr="0035203F">
        <w:rPr>
          <w:bCs w:val="0"/>
        </w:rPr>
        <w:t xml:space="preserve">ệc </w:t>
      </w:r>
      <w:r w:rsidR="00FE0F41">
        <w:rPr>
          <w:bCs w:val="0"/>
        </w:rPr>
        <w:t>quy định</w:t>
      </w:r>
      <w:r w:rsidRPr="0035203F">
        <w:rPr>
          <w:bCs w:val="0"/>
        </w:rPr>
        <w:t xml:space="preserve"> nội dung</w:t>
      </w:r>
      <w:r w:rsidR="002511C8" w:rsidRPr="0035203F">
        <w:rPr>
          <w:bCs w:val="0"/>
        </w:rPr>
        <w:t xml:space="preserve"> này</w:t>
      </w:r>
      <w:r w:rsidRPr="0035203F">
        <w:rPr>
          <w:bCs w:val="0"/>
        </w:rPr>
        <w:t xml:space="preserve"> có thể dẫn đến vướng mắc, khó khả thi do chưa đánh giá đầy đủ. Do đó, đề nghị </w:t>
      </w:r>
      <w:r w:rsidRPr="0035203F">
        <w:rPr>
          <w:bCs w:val="0"/>
          <w:i/>
        </w:rPr>
        <w:t>không quy định nội dung này trong dự thảo Luật</w:t>
      </w:r>
      <w:r w:rsidR="00C76C20" w:rsidRPr="0035203F">
        <w:rPr>
          <w:bCs w:val="0"/>
          <w:i/>
        </w:rPr>
        <w:t xml:space="preserve"> </w:t>
      </w:r>
      <w:r w:rsidR="00C76C20" w:rsidRPr="0035203F">
        <w:rPr>
          <w:bCs w:val="0"/>
        </w:rPr>
        <w:t xml:space="preserve">và </w:t>
      </w:r>
      <w:r w:rsidRPr="0035203F">
        <w:rPr>
          <w:bCs w:val="0"/>
        </w:rPr>
        <w:t xml:space="preserve">Chính phủ </w:t>
      </w:r>
      <w:r w:rsidR="002511C8" w:rsidRPr="0035203F">
        <w:rPr>
          <w:bCs w:val="0"/>
        </w:rPr>
        <w:t xml:space="preserve">cần </w:t>
      </w:r>
      <w:r w:rsidRPr="0035203F">
        <w:rPr>
          <w:bCs w:val="0"/>
        </w:rPr>
        <w:t>chỉ đạo nghiên cứu lộ trình để thí điểm, tổng kết, đánh giá trước khi Luật hóa.</w:t>
      </w:r>
    </w:p>
    <w:p w14:paraId="61663759" w14:textId="77777777" w:rsidR="00413A2F" w:rsidRDefault="00AE240F" w:rsidP="00410024">
      <w:pPr>
        <w:spacing w:before="80" w:after="0" w:line="240" w:lineRule="auto"/>
        <w:ind w:firstLine="567"/>
        <w:jc w:val="both"/>
        <w:rPr>
          <w:rFonts w:ascii="Times New Roman" w:hAnsi="Times New Roman"/>
          <w:sz w:val="28"/>
          <w:szCs w:val="28"/>
          <w:lang w:val="en-GB"/>
        </w:rPr>
      </w:pPr>
      <w:r w:rsidRPr="0035203F">
        <w:rPr>
          <w:rFonts w:ascii="Times New Roman" w:hAnsi="Times New Roman"/>
          <w:sz w:val="28"/>
          <w:szCs w:val="28"/>
          <w:lang w:val="vi-VN"/>
        </w:rPr>
        <w:t xml:space="preserve">Trên đây là tóm tắt Báo cáo một số vấn đề giải trình, tiếp thu và chỉnh lý dự thảo Luật ĐC&amp;KS, Thường trực Ủy ban KH,CN&amp;MT </w:t>
      </w:r>
      <w:r w:rsidR="00242C02">
        <w:rPr>
          <w:rFonts w:ascii="Times New Roman" w:hAnsi="Times New Roman"/>
          <w:sz w:val="28"/>
          <w:szCs w:val="28"/>
          <w:lang w:val="en-GB"/>
        </w:rPr>
        <w:t xml:space="preserve">xin </w:t>
      </w:r>
      <w:r w:rsidRPr="0035203F">
        <w:rPr>
          <w:rFonts w:ascii="Times New Roman" w:hAnsi="Times New Roman"/>
          <w:sz w:val="28"/>
          <w:szCs w:val="28"/>
          <w:lang w:val="vi-VN"/>
        </w:rPr>
        <w:t>kính trình</w:t>
      </w:r>
      <w:r w:rsidR="004E497D" w:rsidRPr="0035203F">
        <w:rPr>
          <w:rFonts w:ascii="Times New Roman" w:hAnsi="Times New Roman"/>
          <w:sz w:val="28"/>
          <w:szCs w:val="28"/>
          <w:lang w:val="vi-VN"/>
        </w:rPr>
        <w:t>.</w:t>
      </w:r>
    </w:p>
    <w:p w14:paraId="0130FFBA" w14:textId="0130E699" w:rsidR="0045459C" w:rsidRPr="0035203F" w:rsidRDefault="00410024" w:rsidP="00410024">
      <w:pPr>
        <w:spacing w:before="100" w:after="0" w:line="240" w:lineRule="auto"/>
        <w:ind w:firstLine="567"/>
        <w:jc w:val="both"/>
        <w:rPr>
          <w:rFonts w:ascii="Times New Roman" w:hAnsi="Times New Roman"/>
        </w:rPr>
      </w:pPr>
      <w:r>
        <w:rPr>
          <w:rFonts w:ascii="Times New Roman" w:hAnsi="Times New Roman"/>
          <w:b/>
          <w:sz w:val="24"/>
          <w:szCs w:val="24"/>
          <w:lang w:val="fr-FR"/>
        </w:rPr>
        <w:t xml:space="preserve">                                                                </w:t>
      </w:r>
      <w:r w:rsidR="00363C29" w:rsidRPr="00413A2F">
        <w:rPr>
          <w:rFonts w:ascii="Times New Roman" w:hAnsi="Times New Roman"/>
          <w:b/>
          <w:sz w:val="24"/>
          <w:szCs w:val="24"/>
          <w:lang w:val="fr-FR"/>
        </w:rPr>
        <w:t xml:space="preserve">THƯỜNG TRỰC ỦY BAN </w:t>
      </w:r>
      <w:proofErr w:type="gramStart"/>
      <w:r w:rsidR="00363C29" w:rsidRPr="00413A2F">
        <w:rPr>
          <w:rFonts w:ascii="Times New Roman" w:hAnsi="Times New Roman"/>
          <w:b/>
          <w:sz w:val="24"/>
          <w:szCs w:val="24"/>
          <w:lang w:val="fr-FR"/>
        </w:rPr>
        <w:t>KH,CN</w:t>
      </w:r>
      <w:proofErr w:type="gramEnd"/>
      <w:r w:rsidR="00363C29" w:rsidRPr="00413A2F">
        <w:rPr>
          <w:rFonts w:ascii="Times New Roman" w:hAnsi="Times New Roman"/>
          <w:b/>
          <w:sz w:val="24"/>
          <w:szCs w:val="24"/>
          <w:lang w:val="fr-FR"/>
        </w:rPr>
        <w:t>&amp;MT</w:t>
      </w:r>
      <w:bookmarkEnd w:id="0"/>
    </w:p>
    <w:sectPr w:rsidR="0045459C" w:rsidRPr="0035203F" w:rsidSect="00410024">
      <w:headerReference w:type="default" r:id="rId8"/>
      <w:headerReference w:type="first" r:id="rId9"/>
      <w:footerReference w:type="first" r:id="rId10"/>
      <w:pgSz w:w="11907" w:h="16840" w:code="9"/>
      <w:pgMar w:top="1134" w:right="1021" w:bottom="1077" w:left="1588" w:header="51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5CB8" w14:textId="77777777" w:rsidR="00804B5C" w:rsidRDefault="00804B5C" w:rsidP="008A3505">
      <w:pPr>
        <w:spacing w:after="0" w:line="240" w:lineRule="auto"/>
      </w:pPr>
      <w:r>
        <w:separator/>
      </w:r>
    </w:p>
  </w:endnote>
  <w:endnote w:type="continuationSeparator" w:id="0">
    <w:p w14:paraId="07372912" w14:textId="77777777" w:rsidR="00804B5C" w:rsidRDefault="00804B5C" w:rsidP="008A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5897" w14:textId="77777777" w:rsidR="00864F85" w:rsidRDefault="00864F85">
    <w:pPr>
      <w:pStyle w:val="Footer"/>
      <w:jc w:val="center"/>
    </w:pPr>
  </w:p>
  <w:p w14:paraId="16657E80" w14:textId="77777777" w:rsidR="00864F85" w:rsidRDefault="0086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2C28" w14:textId="77777777" w:rsidR="00804B5C" w:rsidRDefault="00804B5C" w:rsidP="008A3505">
      <w:pPr>
        <w:spacing w:after="0" w:line="240" w:lineRule="auto"/>
      </w:pPr>
      <w:r>
        <w:separator/>
      </w:r>
    </w:p>
  </w:footnote>
  <w:footnote w:type="continuationSeparator" w:id="0">
    <w:p w14:paraId="3CCD25E6" w14:textId="77777777" w:rsidR="00804B5C" w:rsidRDefault="00804B5C" w:rsidP="008A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C8F3" w14:textId="77777777" w:rsidR="00864F85" w:rsidRDefault="00864F85">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FE0F41" w:rsidRPr="00FE0F41">
      <w:rPr>
        <w:rFonts w:ascii="Times New Roman" w:hAnsi="Times New Roman"/>
        <w:noProof/>
        <w:sz w:val="24"/>
        <w:szCs w:val="24"/>
        <w:lang w:val="vi-VN" w:eastAsia="vi-VN"/>
      </w:rPr>
      <w:t>6</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3509" w14:textId="77777777" w:rsidR="00864F85" w:rsidRDefault="00864F85">
    <w:pPr>
      <w:pStyle w:val="Header"/>
      <w:tabs>
        <w:tab w:val="clear" w:pos="4513"/>
        <w:tab w:val="clear" w:pos="9026"/>
        <w:tab w:val="left" w:pos="28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74CDA"/>
    <w:multiLevelType w:val="hybridMultilevel"/>
    <w:tmpl w:val="BB765430"/>
    <w:lvl w:ilvl="0" w:tplc="17B834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33E51AD"/>
    <w:multiLevelType w:val="hybridMultilevel"/>
    <w:tmpl w:val="4A5872F2"/>
    <w:lvl w:ilvl="0" w:tplc="8E6E7F2C">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A3E6EB8"/>
    <w:multiLevelType w:val="hybridMultilevel"/>
    <w:tmpl w:val="F0184F94"/>
    <w:lvl w:ilvl="0" w:tplc="6CD24AAA">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72BDA"/>
    <w:multiLevelType w:val="multilevel"/>
    <w:tmpl w:val="1396A6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997028425">
    <w:abstractNumId w:val="1"/>
  </w:num>
  <w:num w:numId="2" w16cid:durableId="1276063136">
    <w:abstractNumId w:val="2"/>
  </w:num>
  <w:num w:numId="3" w16cid:durableId="1967344986">
    <w:abstractNumId w:val="0"/>
  </w:num>
  <w:num w:numId="4" w16cid:durableId="1159662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05"/>
    <w:rsid w:val="00003141"/>
    <w:rsid w:val="00005348"/>
    <w:rsid w:val="000073C9"/>
    <w:rsid w:val="000074D0"/>
    <w:rsid w:val="00011C3D"/>
    <w:rsid w:val="00022296"/>
    <w:rsid w:val="0002290D"/>
    <w:rsid w:val="0002617A"/>
    <w:rsid w:val="00026584"/>
    <w:rsid w:val="00030051"/>
    <w:rsid w:val="00033DAE"/>
    <w:rsid w:val="000414B1"/>
    <w:rsid w:val="00046272"/>
    <w:rsid w:val="00051E92"/>
    <w:rsid w:val="000526AD"/>
    <w:rsid w:val="000568B3"/>
    <w:rsid w:val="000575E3"/>
    <w:rsid w:val="0006582A"/>
    <w:rsid w:val="0006686B"/>
    <w:rsid w:val="00067D60"/>
    <w:rsid w:val="00070670"/>
    <w:rsid w:val="0007308D"/>
    <w:rsid w:val="000738AA"/>
    <w:rsid w:val="0007466D"/>
    <w:rsid w:val="0007763C"/>
    <w:rsid w:val="00080B33"/>
    <w:rsid w:val="00080E12"/>
    <w:rsid w:val="000846AA"/>
    <w:rsid w:val="00084DFA"/>
    <w:rsid w:val="000935E6"/>
    <w:rsid w:val="00094022"/>
    <w:rsid w:val="000A0304"/>
    <w:rsid w:val="000A5044"/>
    <w:rsid w:val="000B1606"/>
    <w:rsid w:val="000B2A9A"/>
    <w:rsid w:val="000B2AB7"/>
    <w:rsid w:val="000B37D7"/>
    <w:rsid w:val="000B4FA4"/>
    <w:rsid w:val="000B7304"/>
    <w:rsid w:val="000C674E"/>
    <w:rsid w:val="000C6B44"/>
    <w:rsid w:val="000C7617"/>
    <w:rsid w:val="000D0C38"/>
    <w:rsid w:val="000D12CD"/>
    <w:rsid w:val="000E05BB"/>
    <w:rsid w:val="000E11C1"/>
    <w:rsid w:val="000E1E71"/>
    <w:rsid w:val="000E3202"/>
    <w:rsid w:val="000E5E29"/>
    <w:rsid w:val="000E7555"/>
    <w:rsid w:val="000F4D9B"/>
    <w:rsid w:val="001019B3"/>
    <w:rsid w:val="00111CFF"/>
    <w:rsid w:val="00113177"/>
    <w:rsid w:val="00115482"/>
    <w:rsid w:val="00120B4A"/>
    <w:rsid w:val="001217D9"/>
    <w:rsid w:val="001234D4"/>
    <w:rsid w:val="00126F35"/>
    <w:rsid w:val="00130290"/>
    <w:rsid w:val="00132E22"/>
    <w:rsid w:val="001414D5"/>
    <w:rsid w:val="00150547"/>
    <w:rsid w:val="00154D16"/>
    <w:rsid w:val="00161E98"/>
    <w:rsid w:val="00162555"/>
    <w:rsid w:val="001640F6"/>
    <w:rsid w:val="0017448C"/>
    <w:rsid w:val="001750C0"/>
    <w:rsid w:val="0018466C"/>
    <w:rsid w:val="001963B6"/>
    <w:rsid w:val="001A1E6A"/>
    <w:rsid w:val="001A3BA0"/>
    <w:rsid w:val="001A5B21"/>
    <w:rsid w:val="001A78FB"/>
    <w:rsid w:val="001B2FFF"/>
    <w:rsid w:val="001B4900"/>
    <w:rsid w:val="001B59B3"/>
    <w:rsid w:val="001C0736"/>
    <w:rsid w:val="001C16FE"/>
    <w:rsid w:val="001C3185"/>
    <w:rsid w:val="001C5098"/>
    <w:rsid w:val="001C553D"/>
    <w:rsid w:val="001D15DA"/>
    <w:rsid w:val="001D35C8"/>
    <w:rsid w:val="001D495E"/>
    <w:rsid w:val="001D5D69"/>
    <w:rsid w:val="001D6AF6"/>
    <w:rsid w:val="001E0451"/>
    <w:rsid w:val="001E16F4"/>
    <w:rsid w:val="001E376C"/>
    <w:rsid w:val="001E3F03"/>
    <w:rsid w:val="001F569C"/>
    <w:rsid w:val="0020281C"/>
    <w:rsid w:val="002043AB"/>
    <w:rsid w:val="002059EE"/>
    <w:rsid w:val="0020653D"/>
    <w:rsid w:val="00207952"/>
    <w:rsid w:val="00212449"/>
    <w:rsid w:val="00220666"/>
    <w:rsid w:val="00221737"/>
    <w:rsid w:val="00227D68"/>
    <w:rsid w:val="0023379D"/>
    <w:rsid w:val="002424E1"/>
    <w:rsid w:val="00242C02"/>
    <w:rsid w:val="00243269"/>
    <w:rsid w:val="00244583"/>
    <w:rsid w:val="00246CAA"/>
    <w:rsid w:val="002511C8"/>
    <w:rsid w:val="00251AD0"/>
    <w:rsid w:val="002533FA"/>
    <w:rsid w:val="00254F3F"/>
    <w:rsid w:val="0025667B"/>
    <w:rsid w:val="00256D35"/>
    <w:rsid w:val="00257961"/>
    <w:rsid w:val="00257962"/>
    <w:rsid w:val="00262A08"/>
    <w:rsid w:val="00263F1C"/>
    <w:rsid w:val="0028167C"/>
    <w:rsid w:val="00284A8D"/>
    <w:rsid w:val="00284B76"/>
    <w:rsid w:val="002939F8"/>
    <w:rsid w:val="002A0475"/>
    <w:rsid w:val="002A10AD"/>
    <w:rsid w:val="002A45B8"/>
    <w:rsid w:val="002A6D8A"/>
    <w:rsid w:val="002A725D"/>
    <w:rsid w:val="002B02C5"/>
    <w:rsid w:val="002B049A"/>
    <w:rsid w:val="002B2C08"/>
    <w:rsid w:val="002D0D50"/>
    <w:rsid w:val="002D0D97"/>
    <w:rsid w:val="002D100C"/>
    <w:rsid w:val="002D3B8D"/>
    <w:rsid w:val="002E60EA"/>
    <w:rsid w:val="002F5A29"/>
    <w:rsid w:val="00301656"/>
    <w:rsid w:val="00301BF3"/>
    <w:rsid w:val="003043E0"/>
    <w:rsid w:val="00304FCC"/>
    <w:rsid w:val="003059AF"/>
    <w:rsid w:val="00306A08"/>
    <w:rsid w:val="00306A37"/>
    <w:rsid w:val="0031491F"/>
    <w:rsid w:val="003203ED"/>
    <w:rsid w:val="00322317"/>
    <w:rsid w:val="00323D7A"/>
    <w:rsid w:val="003246C3"/>
    <w:rsid w:val="00325B4C"/>
    <w:rsid w:val="00334BC7"/>
    <w:rsid w:val="00337A49"/>
    <w:rsid w:val="003402B9"/>
    <w:rsid w:val="00342672"/>
    <w:rsid w:val="00344199"/>
    <w:rsid w:val="003449AA"/>
    <w:rsid w:val="00346473"/>
    <w:rsid w:val="0035203F"/>
    <w:rsid w:val="00353D6E"/>
    <w:rsid w:val="00363C29"/>
    <w:rsid w:val="00370B7B"/>
    <w:rsid w:val="003741B5"/>
    <w:rsid w:val="0037740E"/>
    <w:rsid w:val="003800B7"/>
    <w:rsid w:val="003806A6"/>
    <w:rsid w:val="0038279A"/>
    <w:rsid w:val="003872E3"/>
    <w:rsid w:val="003917D7"/>
    <w:rsid w:val="00391EA5"/>
    <w:rsid w:val="0039346C"/>
    <w:rsid w:val="00397107"/>
    <w:rsid w:val="003978A3"/>
    <w:rsid w:val="003A1762"/>
    <w:rsid w:val="003A20BC"/>
    <w:rsid w:val="003A2C68"/>
    <w:rsid w:val="003B46D4"/>
    <w:rsid w:val="003B47D3"/>
    <w:rsid w:val="003B62B5"/>
    <w:rsid w:val="003D4419"/>
    <w:rsid w:val="003D7DE7"/>
    <w:rsid w:val="003D7E20"/>
    <w:rsid w:val="003E7B38"/>
    <w:rsid w:val="003F1AD7"/>
    <w:rsid w:val="003F21C9"/>
    <w:rsid w:val="003F2B96"/>
    <w:rsid w:val="003F4B59"/>
    <w:rsid w:val="0040078F"/>
    <w:rsid w:val="004033B4"/>
    <w:rsid w:val="0040383B"/>
    <w:rsid w:val="0040467C"/>
    <w:rsid w:val="004074CD"/>
    <w:rsid w:val="00407E3D"/>
    <w:rsid w:val="00410024"/>
    <w:rsid w:val="00413A2F"/>
    <w:rsid w:val="00414D46"/>
    <w:rsid w:val="00415C06"/>
    <w:rsid w:val="00421B05"/>
    <w:rsid w:val="00422DA6"/>
    <w:rsid w:val="00433726"/>
    <w:rsid w:val="0043548C"/>
    <w:rsid w:val="00441975"/>
    <w:rsid w:val="004429FC"/>
    <w:rsid w:val="00443E46"/>
    <w:rsid w:val="00444188"/>
    <w:rsid w:val="00445114"/>
    <w:rsid w:val="00445BA1"/>
    <w:rsid w:val="004464CF"/>
    <w:rsid w:val="0045459C"/>
    <w:rsid w:val="00457555"/>
    <w:rsid w:val="00460783"/>
    <w:rsid w:val="00460ABB"/>
    <w:rsid w:val="0046407D"/>
    <w:rsid w:val="00476163"/>
    <w:rsid w:val="00476605"/>
    <w:rsid w:val="00490234"/>
    <w:rsid w:val="00490513"/>
    <w:rsid w:val="00491806"/>
    <w:rsid w:val="00491C58"/>
    <w:rsid w:val="00492F42"/>
    <w:rsid w:val="00495E22"/>
    <w:rsid w:val="0049711D"/>
    <w:rsid w:val="004A02A2"/>
    <w:rsid w:val="004A379E"/>
    <w:rsid w:val="004B7692"/>
    <w:rsid w:val="004C41E2"/>
    <w:rsid w:val="004C4A9F"/>
    <w:rsid w:val="004C561B"/>
    <w:rsid w:val="004C5C32"/>
    <w:rsid w:val="004C6815"/>
    <w:rsid w:val="004D01B8"/>
    <w:rsid w:val="004D1D36"/>
    <w:rsid w:val="004E3963"/>
    <w:rsid w:val="004E497D"/>
    <w:rsid w:val="004E5997"/>
    <w:rsid w:val="004E66D5"/>
    <w:rsid w:val="00506080"/>
    <w:rsid w:val="0051205D"/>
    <w:rsid w:val="0051489A"/>
    <w:rsid w:val="005161C4"/>
    <w:rsid w:val="00520E76"/>
    <w:rsid w:val="0052161E"/>
    <w:rsid w:val="00521EAB"/>
    <w:rsid w:val="00532453"/>
    <w:rsid w:val="00532F9C"/>
    <w:rsid w:val="00534AFC"/>
    <w:rsid w:val="0053644B"/>
    <w:rsid w:val="00537AB4"/>
    <w:rsid w:val="005414EC"/>
    <w:rsid w:val="005470DB"/>
    <w:rsid w:val="0054738B"/>
    <w:rsid w:val="00551849"/>
    <w:rsid w:val="00555950"/>
    <w:rsid w:val="005575CA"/>
    <w:rsid w:val="00557A4D"/>
    <w:rsid w:val="005619B5"/>
    <w:rsid w:val="0056268C"/>
    <w:rsid w:val="00563009"/>
    <w:rsid w:val="005660B4"/>
    <w:rsid w:val="00566EC2"/>
    <w:rsid w:val="00572884"/>
    <w:rsid w:val="00577086"/>
    <w:rsid w:val="0059049D"/>
    <w:rsid w:val="00590EE0"/>
    <w:rsid w:val="00591B70"/>
    <w:rsid w:val="005934F8"/>
    <w:rsid w:val="005A1BFC"/>
    <w:rsid w:val="005A22EE"/>
    <w:rsid w:val="005A2A3C"/>
    <w:rsid w:val="005A39B2"/>
    <w:rsid w:val="005A6523"/>
    <w:rsid w:val="005B7EF4"/>
    <w:rsid w:val="005C38A2"/>
    <w:rsid w:val="005C4F66"/>
    <w:rsid w:val="005D2381"/>
    <w:rsid w:val="005D38D0"/>
    <w:rsid w:val="005D63B7"/>
    <w:rsid w:val="005D7B41"/>
    <w:rsid w:val="005E7D34"/>
    <w:rsid w:val="00605AD3"/>
    <w:rsid w:val="006124B6"/>
    <w:rsid w:val="006209A0"/>
    <w:rsid w:val="0062461F"/>
    <w:rsid w:val="00626AF4"/>
    <w:rsid w:val="00630C13"/>
    <w:rsid w:val="0063254C"/>
    <w:rsid w:val="00635E68"/>
    <w:rsid w:val="00640A40"/>
    <w:rsid w:val="006451B6"/>
    <w:rsid w:val="00645653"/>
    <w:rsid w:val="006519A4"/>
    <w:rsid w:val="00665743"/>
    <w:rsid w:val="0067646A"/>
    <w:rsid w:val="006764A4"/>
    <w:rsid w:val="00682A03"/>
    <w:rsid w:val="00683D8E"/>
    <w:rsid w:val="0069150F"/>
    <w:rsid w:val="00697DD7"/>
    <w:rsid w:val="006A05F6"/>
    <w:rsid w:val="006A4F4E"/>
    <w:rsid w:val="006A58DC"/>
    <w:rsid w:val="006A5F93"/>
    <w:rsid w:val="006B4B98"/>
    <w:rsid w:val="006B4E86"/>
    <w:rsid w:val="006C1A22"/>
    <w:rsid w:val="006C33DE"/>
    <w:rsid w:val="006C6109"/>
    <w:rsid w:val="006C6205"/>
    <w:rsid w:val="006C634A"/>
    <w:rsid w:val="006C648A"/>
    <w:rsid w:val="006C660B"/>
    <w:rsid w:val="006C6D4A"/>
    <w:rsid w:val="006D382B"/>
    <w:rsid w:val="006D4971"/>
    <w:rsid w:val="006F05A1"/>
    <w:rsid w:val="006F5AF9"/>
    <w:rsid w:val="006F63EC"/>
    <w:rsid w:val="00701B89"/>
    <w:rsid w:val="007230B8"/>
    <w:rsid w:val="00724D39"/>
    <w:rsid w:val="00725920"/>
    <w:rsid w:val="007271BA"/>
    <w:rsid w:val="00737B0A"/>
    <w:rsid w:val="00742F14"/>
    <w:rsid w:val="007456A9"/>
    <w:rsid w:val="00753859"/>
    <w:rsid w:val="00755BF3"/>
    <w:rsid w:val="00763A45"/>
    <w:rsid w:val="007641DE"/>
    <w:rsid w:val="00770B0E"/>
    <w:rsid w:val="00772D01"/>
    <w:rsid w:val="00777FEF"/>
    <w:rsid w:val="00780C2F"/>
    <w:rsid w:val="00785003"/>
    <w:rsid w:val="0079180F"/>
    <w:rsid w:val="007924A5"/>
    <w:rsid w:val="00794107"/>
    <w:rsid w:val="007973A4"/>
    <w:rsid w:val="00797CDD"/>
    <w:rsid w:val="00797E68"/>
    <w:rsid w:val="007A0095"/>
    <w:rsid w:val="007A27C4"/>
    <w:rsid w:val="007A405F"/>
    <w:rsid w:val="007B108C"/>
    <w:rsid w:val="007B163E"/>
    <w:rsid w:val="007B7546"/>
    <w:rsid w:val="007D09A0"/>
    <w:rsid w:val="007D473A"/>
    <w:rsid w:val="007D53B6"/>
    <w:rsid w:val="007D5E04"/>
    <w:rsid w:val="007E28E3"/>
    <w:rsid w:val="007E3E34"/>
    <w:rsid w:val="007F39D0"/>
    <w:rsid w:val="007F6DAD"/>
    <w:rsid w:val="00800304"/>
    <w:rsid w:val="00803CB4"/>
    <w:rsid w:val="00804B5C"/>
    <w:rsid w:val="0080778B"/>
    <w:rsid w:val="00817222"/>
    <w:rsid w:val="00824DD3"/>
    <w:rsid w:val="00831D4E"/>
    <w:rsid w:val="00831F72"/>
    <w:rsid w:val="0083221C"/>
    <w:rsid w:val="00841DE5"/>
    <w:rsid w:val="00842BE5"/>
    <w:rsid w:val="00854A39"/>
    <w:rsid w:val="00854AAF"/>
    <w:rsid w:val="00856A0B"/>
    <w:rsid w:val="00862444"/>
    <w:rsid w:val="00864F85"/>
    <w:rsid w:val="00866185"/>
    <w:rsid w:val="0087364A"/>
    <w:rsid w:val="008749A7"/>
    <w:rsid w:val="00876A1F"/>
    <w:rsid w:val="00876F5A"/>
    <w:rsid w:val="00876FEF"/>
    <w:rsid w:val="00877CA5"/>
    <w:rsid w:val="00882174"/>
    <w:rsid w:val="00885D70"/>
    <w:rsid w:val="0088729E"/>
    <w:rsid w:val="008878E5"/>
    <w:rsid w:val="00887B6B"/>
    <w:rsid w:val="00887CEA"/>
    <w:rsid w:val="008947A9"/>
    <w:rsid w:val="008949A2"/>
    <w:rsid w:val="00897B7E"/>
    <w:rsid w:val="008A0B58"/>
    <w:rsid w:val="008A3505"/>
    <w:rsid w:val="008A5014"/>
    <w:rsid w:val="008B1563"/>
    <w:rsid w:val="008B3F8E"/>
    <w:rsid w:val="008B476D"/>
    <w:rsid w:val="008B563D"/>
    <w:rsid w:val="008C283B"/>
    <w:rsid w:val="008D61C8"/>
    <w:rsid w:val="008E75AB"/>
    <w:rsid w:val="008F2E27"/>
    <w:rsid w:val="008F5C23"/>
    <w:rsid w:val="009002CD"/>
    <w:rsid w:val="00920899"/>
    <w:rsid w:val="009214E4"/>
    <w:rsid w:val="00925D7F"/>
    <w:rsid w:val="0092644D"/>
    <w:rsid w:val="009344B0"/>
    <w:rsid w:val="00935EF6"/>
    <w:rsid w:val="009369CA"/>
    <w:rsid w:val="0093794D"/>
    <w:rsid w:val="009428BD"/>
    <w:rsid w:val="009431D7"/>
    <w:rsid w:val="00943922"/>
    <w:rsid w:val="00945FBD"/>
    <w:rsid w:val="009465FA"/>
    <w:rsid w:val="00955470"/>
    <w:rsid w:val="00955D5B"/>
    <w:rsid w:val="009609B8"/>
    <w:rsid w:val="00963B0D"/>
    <w:rsid w:val="0096583F"/>
    <w:rsid w:val="009703FB"/>
    <w:rsid w:val="00970D6A"/>
    <w:rsid w:val="0097189C"/>
    <w:rsid w:val="00972BD6"/>
    <w:rsid w:val="00973736"/>
    <w:rsid w:val="0098375C"/>
    <w:rsid w:val="00983B45"/>
    <w:rsid w:val="00985B73"/>
    <w:rsid w:val="00986B67"/>
    <w:rsid w:val="009A0F23"/>
    <w:rsid w:val="009A413E"/>
    <w:rsid w:val="009A5133"/>
    <w:rsid w:val="009A5860"/>
    <w:rsid w:val="009B04A3"/>
    <w:rsid w:val="009B45B3"/>
    <w:rsid w:val="009B6C07"/>
    <w:rsid w:val="009C20F5"/>
    <w:rsid w:val="009C3D5D"/>
    <w:rsid w:val="009C5805"/>
    <w:rsid w:val="009C5AB5"/>
    <w:rsid w:val="009C61A9"/>
    <w:rsid w:val="009C7634"/>
    <w:rsid w:val="009C7853"/>
    <w:rsid w:val="009D4A58"/>
    <w:rsid w:val="009D528D"/>
    <w:rsid w:val="009D7D1E"/>
    <w:rsid w:val="009E12F1"/>
    <w:rsid w:val="009E463E"/>
    <w:rsid w:val="009E4DBD"/>
    <w:rsid w:val="009F2874"/>
    <w:rsid w:val="00A13B89"/>
    <w:rsid w:val="00A1666F"/>
    <w:rsid w:val="00A2035C"/>
    <w:rsid w:val="00A2194F"/>
    <w:rsid w:val="00A24748"/>
    <w:rsid w:val="00A25712"/>
    <w:rsid w:val="00A26318"/>
    <w:rsid w:val="00A322A7"/>
    <w:rsid w:val="00A3379F"/>
    <w:rsid w:val="00A51CB3"/>
    <w:rsid w:val="00A566AD"/>
    <w:rsid w:val="00A5730D"/>
    <w:rsid w:val="00A62918"/>
    <w:rsid w:val="00A65689"/>
    <w:rsid w:val="00A67818"/>
    <w:rsid w:val="00A71C26"/>
    <w:rsid w:val="00A72476"/>
    <w:rsid w:val="00A774A0"/>
    <w:rsid w:val="00A80FC4"/>
    <w:rsid w:val="00A81390"/>
    <w:rsid w:val="00A9068F"/>
    <w:rsid w:val="00A93CB7"/>
    <w:rsid w:val="00A97014"/>
    <w:rsid w:val="00AB6808"/>
    <w:rsid w:val="00AC034D"/>
    <w:rsid w:val="00AC6827"/>
    <w:rsid w:val="00AD17D9"/>
    <w:rsid w:val="00AD1D4C"/>
    <w:rsid w:val="00AD1EAD"/>
    <w:rsid w:val="00AD2579"/>
    <w:rsid w:val="00AD6A0F"/>
    <w:rsid w:val="00AD6FD7"/>
    <w:rsid w:val="00AE0058"/>
    <w:rsid w:val="00AE240F"/>
    <w:rsid w:val="00AF5D98"/>
    <w:rsid w:val="00AF6F4D"/>
    <w:rsid w:val="00B020C9"/>
    <w:rsid w:val="00B02BDE"/>
    <w:rsid w:val="00B035EA"/>
    <w:rsid w:val="00B21479"/>
    <w:rsid w:val="00B21C50"/>
    <w:rsid w:val="00B3067E"/>
    <w:rsid w:val="00B334E5"/>
    <w:rsid w:val="00B34F1E"/>
    <w:rsid w:val="00B36A86"/>
    <w:rsid w:val="00B45EC2"/>
    <w:rsid w:val="00B50801"/>
    <w:rsid w:val="00B55661"/>
    <w:rsid w:val="00B56CCD"/>
    <w:rsid w:val="00B57388"/>
    <w:rsid w:val="00B63506"/>
    <w:rsid w:val="00B65D28"/>
    <w:rsid w:val="00B76EA0"/>
    <w:rsid w:val="00B80639"/>
    <w:rsid w:val="00B829B6"/>
    <w:rsid w:val="00B83BC1"/>
    <w:rsid w:val="00B85E0B"/>
    <w:rsid w:val="00B86C99"/>
    <w:rsid w:val="00B8713B"/>
    <w:rsid w:val="00B926D3"/>
    <w:rsid w:val="00B932D3"/>
    <w:rsid w:val="00BA0168"/>
    <w:rsid w:val="00BA34A7"/>
    <w:rsid w:val="00BA3CAC"/>
    <w:rsid w:val="00BB3091"/>
    <w:rsid w:val="00BB43E4"/>
    <w:rsid w:val="00BC0FEE"/>
    <w:rsid w:val="00BC53D4"/>
    <w:rsid w:val="00BC744B"/>
    <w:rsid w:val="00BE1EC8"/>
    <w:rsid w:val="00BE5431"/>
    <w:rsid w:val="00BF2AC6"/>
    <w:rsid w:val="00BF6442"/>
    <w:rsid w:val="00C03052"/>
    <w:rsid w:val="00C03C3B"/>
    <w:rsid w:val="00C04E88"/>
    <w:rsid w:val="00C061C0"/>
    <w:rsid w:val="00C06B72"/>
    <w:rsid w:val="00C16F89"/>
    <w:rsid w:val="00C22BEE"/>
    <w:rsid w:val="00C22D0F"/>
    <w:rsid w:val="00C33401"/>
    <w:rsid w:val="00C3489D"/>
    <w:rsid w:val="00C35E43"/>
    <w:rsid w:val="00C35E54"/>
    <w:rsid w:val="00C4496C"/>
    <w:rsid w:val="00C5093E"/>
    <w:rsid w:val="00C56547"/>
    <w:rsid w:val="00C6015E"/>
    <w:rsid w:val="00C602BA"/>
    <w:rsid w:val="00C61B31"/>
    <w:rsid w:val="00C6246B"/>
    <w:rsid w:val="00C63F37"/>
    <w:rsid w:val="00C700CD"/>
    <w:rsid w:val="00C76BDC"/>
    <w:rsid w:val="00C76C20"/>
    <w:rsid w:val="00C81A74"/>
    <w:rsid w:val="00C8315C"/>
    <w:rsid w:val="00C86969"/>
    <w:rsid w:val="00C90655"/>
    <w:rsid w:val="00CA2C62"/>
    <w:rsid w:val="00CA2D3A"/>
    <w:rsid w:val="00CA2E3B"/>
    <w:rsid w:val="00CA71DF"/>
    <w:rsid w:val="00CA735F"/>
    <w:rsid w:val="00CB026F"/>
    <w:rsid w:val="00CB191F"/>
    <w:rsid w:val="00CB30C7"/>
    <w:rsid w:val="00CB423A"/>
    <w:rsid w:val="00CC0868"/>
    <w:rsid w:val="00CC573F"/>
    <w:rsid w:val="00CC7DDD"/>
    <w:rsid w:val="00CD355F"/>
    <w:rsid w:val="00CD6487"/>
    <w:rsid w:val="00CE6FB3"/>
    <w:rsid w:val="00D0570A"/>
    <w:rsid w:val="00D11D88"/>
    <w:rsid w:val="00D14EBE"/>
    <w:rsid w:val="00D16F67"/>
    <w:rsid w:val="00D210C8"/>
    <w:rsid w:val="00D24A9F"/>
    <w:rsid w:val="00D24C4A"/>
    <w:rsid w:val="00D25889"/>
    <w:rsid w:val="00D27D67"/>
    <w:rsid w:val="00D33407"/>
    <w:rsid w:val="00D33B18"/>
    <w:rsid w:val="00D37752"/>
    <w:rsid w:val="00D378F3"/>
    <w:rsid w:val="00D43888"/>
    <w:rsid w:val="00D46AA5"/>
    <w:rsid w:val="00D5008B"/>
    <w:rsid w:val="00D51DF5"/>
    <w:rsid w:val="00D52148"/>
    <w:rsid w:val="00D52993"/>
    <w:rsid w:val="00D54613"/>
    <w:rsid w:val="00D55EB1"/>
    <w:rsid w:val="00D57625"/>
    <w:rsid w:val="00D6384E"/>
    <w:rsid w:val="00D6591F"/>
    <w:rsid w:val="00D67CA3"/>
    <w:rsid w:val="00D67E5A"/>
    <w:rsid w:val="00D7119A"/>
    <w:rsid w:val="00D71EE1"/>
    <w:rsid w:val="00D72AAD"/>
    <w:rsid w:val="00D91C0C"/>
    <w:rsid w:val="00D963E6"/>
    <w:rsid w:val="00DA78D2"/>
    <w:rsid w:val="00DB5D5D"/>
    <w:rsid w:val="00DC24C5"/>
    <w:rsid w:val="00DC2F8C"/>
    <w:rsid w:val="00DC4003"/>
    <w:rsid w:val="00DD0FDD"/>
    <w:rsid w:val="00DD5E30"/>
    <w:rsid w:val="00DE7B4E"/>
    <w:rsid w:val="00DF1AC3"/>
    <w:rsid w:val="00DF71D2"/>
    <w:rsid w:val="00DF7A75"/>
    <w:rsid w:val="00E01ACD"/>
    <w:rsid w:val="00E01C34"/>
    <w:rsid w:val="00E0588B"/>
    <w:rsid w:val="00E06386"/>
    <w:rsid w:val="00E07D55"/>
    <w:rsid w:val="00E117C4"/>
    <w:rsid w:val="00E12FC8"/>
    <w:rsid w:val="00E14B83"/>
    <w:rsid w:val="00E1750A"/>
    <w:rsid w:val="00E2292A"/>
    <w:rsid w:val="00E22DFA"/>
    <w:rsid w:val="00E25903"/>
    <w:rsid w:val="00E25F8C"/>
    <w:rsid w:val="00E26995"/>
    <w:rsid w:val="00E3363B"/>
    <w:rsid w:val="00E427AF"/>
    <w:rsid w:val="00E427BF"/>
    <w:rsid w:val="00E53107"/>
    <w:rsid w:val="00E53C25"/>
    <w:rsid w:val="00E56C0E"/>
    <w:rsid w:val="00E57E4A"/>
    <w:rsid w:val="00E66E52"/>
    <w:rsid w:val="00E748BE"/>
    <w:rsid w:val="00E76B46"/>
    <w:rsid w:val="00E963DF"/>
    <w:rsid w:val="00EA2B6E"/>
    <w:rsid w:val="00EA2C6F"/>
    <w:rsid w:val="00EA4A45"/>
    <w:rsid w:val="00EB2DFC"/>
    <w:rsid w:val="00EB3647"/>
    <w:rsid w:val="00EC48CB"/>
    <w:rsid w:val="00ED56CA"/>
    <w:rsid w:val="00ED62C7"/>
    <w:rsid w:val="00EE27A6"/>
    <w:rsid w:val="00EE4384"/>
    <w:rsid w:val="00EE4BF0"/>
    <w:rsid w:val="00EE58E3"/>
    <w:rsid w:val="00EF5E83"/>
    <w:rsid w:val="00F0151C"/>
    <w:rsid w:val="00F022EC"/>
    <w:rsid w:val="00F0663A"/>
    <w:rsid w:val="00F07281"/>
    <w:rsid w:val="00F07686"/>
    <w:rsid w:val="00F07D58"/>
    <w:rsid w:val="00F11E67"/>
    <w:rsid w:val="00F13769"/>
    <w:rsid w:val="00F20147"/>
    <w:rsid w:val="00F22078"/>
    <w:rsid w:val="00F3080F"/>
    <w:rsid w:val="00F44684"/>
    <w:rsid w:val="00F45EA6"/>
    <w:rsid w:val="00F46ECA"/>
    <w:rsid w:val="00F47B4E"/>
    <w:rsid w:val="00F51FE7"/>
    <w:rsid w:val="00F56484"/>
    <w:rsid w:val="00F61FCA"/>
    <w:rsid w:val="00F65867"/>
    <w:rsid w:val="00F67A23"/>
    <w:rsid w:val="00F70706"/>
    <w:rsid w:val="00F725AB"/>
    <w:rsid w:val="00F733C2"/>
    <w:rsid w:val="00F754F7"/>
    <w:rsid w:val="00F76C8C"/>
    <w:rsid w:val="00F83247"/>
    <w:rsid w:val="00F83405"/>
    <w:rsid w:val="00F83657"/>
    <w:rsid w:val="00F847CC"/>
    <w:rsid w:val="00F85807"/>
    <w:rsid w:val="00F87DB5"/>
    <w:rsid w:val="00F926EE"/>
    <w:rsid w:val="00F939C5"/>
    <w:rsid w:val="00FA7DC7"/>
    <w:rsid w:val="00FB09F3"/>
    <w:rsid w:val="00FC2FF4"/>
    <w:rsid w:val="00FC3F03"/>
    <w:rsid w:val="00FC494B"/>
    <w:rsid w:val="00FC54F2"/>
    <w:rsid w:val="00FC79C3"/>
    <w:rsid w:val="00FE0F18"/>
    <w:rsid w:val="00FE0F41"/>
    <w:rsid w:val="00FE2F75"/>
    <w:rsid w:val="00FF26D9"/>
    <w:rsid w:val="00FF579B"/>
    <w:rsid w:val="00FF6B15"/>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D3590"/>
  <w14:defaultImageDpi w14:val="0"/>
  <w15:docId w15:val="{44444ADA-BB6A-40F4-88BB-B058730A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05"/>
    <w:rPr>
      <w:rFonts w:ascii="Calibri" w:hAnsi="Calibri" w:cs="Times New Roman"/>
    </w:rPr>
  </w:style>
  <w:style w:type="paragraph" w:styleId="Heading1">
    <w:name w:val="heading 1"/>
    <w:basedOn w:val="Normal"/>
    <w:next w:val="Normal"/>
    <w:link w:val="Heading1Char"/>
    <w:qFormat/>
    <w:rsid w:val="00AE240F"/>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AE240F"/>
    <w:pPr>
      <w:keepNext/>
      <w:spacing w:before="240" w:after="60" w:line="240" w:lineRule="auto"/>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rsid w:val="008A3505"/>
    <w:pPr>
      <w:spacing w:after="0" w:line="360" w:lineRule="exact"/>
      <w:jc w:val="both"/>
    </w:pPr>
    <w:rPr>
      <w:rFonts w:ascii="Times New Roman" w:hAnsi="Times New Roman"/>
      <w:bCs/>
      <w:sz w:val="28"/>
      <w:szCs w:val="28"/>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8A3505"/>
    <w:rPr>
      <w:rFonts w:ascii="Times New Roman" w:hAnsi="Times New Roman" w:cs="Times New Roman"/>
      <w:bCs/>
      <w:sz w:val="28"/>
      <w:szCs w:val="28"/>
    </w:rPr>
  </w:style>
  <w:style w:type="paragraph" w:styleId="Footer">
    <w:name w:val="footer"/>
    <w:basedOn w:val="Normal"/>
    <w:link w:val="FooterChar"/>
    <w:uiPriority w:val="99"/>
    <w:unhideWhenUsed/>
    <w:rsid w:val="008A3505"/>
    <w:pPr>
      <w:tabs>
        <w:tab w:val="center" w:pos="4513"/>
        <w:tab w:val="right" w:pos="9026"/>
      </w:tabs>
    </w:pPr>
  </w:style>
  <w:style w:type="character" w:customStyle="1" w:styleId="FooterChar">
    <w:name w:val="Footer Char"/>
    <w:basedOn w:val="DefaultParagraphFont"/>
    <w:link w:val="Footer"/>
    <w:uiPriority w:val="99"/>
    <w:rsid w:val="008A3505"/>
    <w:rPr>
      <w:rFonts w:ascii="Calibri" w:eastAsia="Times New Roman" w:hAnsi="Calibri" w:cs="Times New Roman"/>
    </w:rPr>
  </w:style>
  <w:style w:type="character" w:styleId="FootnoteReference">
    <w:name w:val="footnote reference"/>
    <w:aliases w:val="Footnote Text1,Footnote Text Char Char Char Char Char,Footnote Text Char Char Char Char Char Char Ch,Footnote Text Char Char Char Char Char Char Ch Char,Footnote Text Char Char Char Char Char Char Ch Char Char Char,single space,fn"/>
    <w:basedOn w:val="DefaultParagraphFont"/>
    <w:uiPriority w:val="99"/>
    <w:qFormat/>
    <w:rsid w:val="008A3505"/>
    <w:rPr>
      <w:b/>
      <w:bCs/>
      <w:color w:val="000000"/>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qFormat/>
    <w:rsid w:val="008A3505"/>
    <w:rPr>
      <w:rFonts w:ascii="Times New Roman" w:hAnsi="Times New Roman" w:cs="Times New Roman"/>
      <w:b/>
      <w:bCs/>
      <w:color w:val="000000"/>
      <w:sz w:val="20"/>
      <w:szCs w:val="20"/>
    </w:rPr>
  </w:style>
  <w:style w:type="paragraph" w:styleId="Header">
    <w:name w:val="header"/>
    <w:basedOn w:val="Normal"/>
    <w:link w:val="HeaderChar"/>
    <w:uiPriority w:val="99"/>
    <w:unhideWhenUsed/>
    <w:rsid w:val="008A3505"/>
    <w:pPr>
      <w:tabs>
        <w:tab w:val="center" w:pos="4513"/>
        <w:tab w:val="right" w:pos="9026"/>
      </w:tabs>
    </w:pPr>
  </w:style>
  <w:style w:type="character" w:customStyle="1" w:styleId="HeaderChar">
    <w:name w:val="Header Char"/>
    <w:basedOn w:val="DefaultParagraphFont"/>
    <w:link w:val="Header"/>
    <w:uiPriority w:val="99"/>
    <w:rsid w:val="008A3505"/>
    <w:rPr>
      <w:rFonts w:ascii="Calibri" w:eastAsia="Times New Roman" w:hAnsi="Calibri" w:cs="Times New Roman"/>
    </w:rPr>
  </w:style>
  <w:style w:type="paragraph" w:styleId="NormalWeb">
    <w:name w:val="Normal (Web)"/>
    <w:basedOn w:val="Normal"/>
    <w:uiPriority w:val="99"/>
    <w:unhideWhenUsed/>
    <w:rsid w:val="008A3505"/>
    <w:pPr>
      <w:spacing w:before="100" w:beforeAutospacing="1" w:after="100" w:afterAutospacing="1" w:line="240" w:lineRule="auto"/>
    </w:pPr>
    <w:rPr>
      <w:rFonts w:ascii="Times New Roman" w:hAnsi="Times New Roman"/>
      <w:sz w:val="24"/>
      <w:szCs w:val="24"/>
    </w:rPr>
  </w:style>
  <w:style w:type="paragraph" w:customStyle="1" w:styleId="Normal0">
    <w:name w:val="[Normal]"/>
    <w:rsid w:val="008A3505"/>
    <w:pPr>
      <w:spacing w:after="0" w:line="240" w:lineRule="auto"/>
    </w:pPr>
    <w:rPr>
      <w:rFonts w:ascii="Arial" w:hAnsi="Arial" w:cs="Times New Roman"/>
      <w:sz w:val="24"/>
      <w:szCs w:val="20"/>
    </w:rPr>
  </w:style>
  <w:style w:type="paragraph" w:customStyle="1" w:styleId="n-dieund-p">
    <w:name w:val="n-dieund-p"/>
    <w:basedOn w:val="Normal"/>
    <w:uiPriority w:val="99"/>
    <w:rsid w:val="008A3505"/>
    <w:pPr>
      <w:spacing w:after="0" w:line="240" w:lineRule="auto"/>
      <w:jc w:val="both"/>
    </w:pPr>
    <w:rPr>
      <w:rFonts w:ascii="Times New Roman" w:hAnsi="Times New Roman"/>
      <w:sz w:val="20"/>
      <w:szCs w:val="20"/>
    </w:rPr>
  </w:style>
  <w:style w:type="paragraph" w:customStyle="1" w:styleId="Tento">
    <w:name w:val="Ten to"/>
    <w:basedOn w:val="BodyText"/>
    <w:link w:val="TentoChar"/>
    <w:qFormat/>
    <w:rsid w:val="008A3505"/>
    <w:pPr>
      <w:widowControl w:val="0"/>
      <w:spacing w:before="120" w:after="120" w:line="400" w:lineRule="exact"/>
      <w:ind w:firstLine="709"/>
    </w:pPr>
    <w:rPr>
      <w:color w:val="FF0000"/>
      <w:lang w:val="nl-NL"/>
    </w:rPr>
  </w:style>
  <w:style w:type="character" w:customStyle="1" w:styleId="TentoChar">
    <w:name w:val="Ten to Char"/>
    <w:link w:val="Tento"/>
    <w:rsid w:val="008A3505"/>
    <w:rPr>
      <w:rFonts w:ascii="Times New Roman" w:hAnsi="Times New Roman"/>
      <w:color w:val="FF0000"/>
      <w:sz w:val="28"/>
      <w:lang w:val="nl-NL" w:eastAsia="x-none"/>
    </w:rPr>
  </w:style>
  <w:style w:type="paragraph" w:customStyle="1" w:styleId="FootnotetextChar1">
    <w:name w:val="Footnote text Char1"/>
    <w:basedOn w:val="Normal"/>
    <w:uiPriority w:val="99"/>
    <w:rsid w:val="008A3505"/>
    <w:pPr>
      <w:spacing w:line="240" w:lineRule="exact"/>
    </w:pPr>
    <w:rPr>
      <w:rFonts w:asciiTheme="minorHAnsi" w:hAnsiTheme="minorHAnsi"/>
      <w:vertAlign w:val="superscript"/>
    </w:rPr>
  </w:style>
  <w:style w:type="paragraph" w:customStyle="1" w:styleId="content">
    <w:name w:val="content"/>
    <w:basedOn w:val="Normal"/>
    <w:rsid w:val="003449AA"/>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unhideWhenUsed/>
    <w:rsid w:val="003449AA"/>
    <w:rPr>
      <w:sz w:val="16"/>
    </w:rPr>
  </w:style>
  <w:style w:type="paragraph" w:styleId="CommentText">
    <w:name w:val="annotation text"/>
    <w:basedOn w:val="Normal"/>
    <w:link w:val="CommentTextChar"/>
    <w:uiPriority w:val="99"/>
    <w:unhideWhenUsed/>
    <w:rsid w:val="003449AA"/>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449AA"/>
    <w:rPr>
      <w:rFonts w:ascii="Times New Roman" w:hAnsi="Times New Roman" w:cs="Times New Roman"/>
      <w:sz w:val="20"/>
      <w:szCs w:val="20"/>
    </w:rPr>
  </w:style>
  <w:style w:type="character" w:styleId="Strong">
    <w:name w:val="Strong"/>
    <w:basedOn w:val="DefaultParagraphFont"/>
    <w:uiPriority w:val="22"/>
    <w:qFormat/>
    <w:rsid w:val="003449AA"/>
    <w:rPr>
      <w:b/>
    </w:rPr>
  </w:style>
  <w:style w:type="character" w:customStyle="1" w:styleId="text">
    <w:name w:val="text"/>
    <w:basedOn w:val="DefaultParagraphFont"/>
    <w:rsid w:val="003449AA"/>
    <w:rPr>
      <w:rFonts w:cs="Times New Roman"/>
    </w:rPr>
  </w:style>
  <w:style w:type="paragraph" w:styleId="ListParagraph">
    <w:name w:val="List Paragraph"/>
    <w:aliases w:val="ko,Gạch đầu dòng,List a),List Paragraph12,List_Paragraph,ADB paragraph numbering,List Paragraph nowy,Bullets,List Paragraph (numbered (a)),Numbered List Paragraph,References,ANNEX,List Paragraph1,List Paragraph2,Normal 2,style 3,Paragraph"/>
    <w:basedOn w:val="Normal"/>
    <w:link w:val="ListParagraphChar"/>
    <w:uiPriority w:val="34"/>
    <w:qFormat/>
    <w:rsid w:val="007D09A0"/>
    <w:pPr>
      <w:ind w:left="720"/>
      <w:contextualSpacing/>
    </w:pPr>
  </w:style>
  <w:style w:type="paragraph" w:styleId="BalloonText">
    <w:name w:val="Balloon Text"/>
    <w:basedOn w:val="Normal"/>
    <w:link w:val="BalloonTextChar"/>
    <w:uiPriority w:val="99"/>
    <w:semiHidden/>
    <w:unhideWhenUsed/>
    <w:rsid w:val="000D0C3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D0C38"/>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C1A22"/>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6C1A22"/>
    <w:rPr>
      <w:rFonts w:ascii="Calibri" w:eastAsia="Times New Roman" w:hAnsi="Calibri" w:cs="Times New Roman"/>
      <w:b/>
      <w:bCs/>
      <w:sz w:val="20"/>
      <w:szCs w:val="20"/>
    </w:rPr>
  </w:style>
  <w:style w:type="paragraph" w:styleId="BodyTextIndent2">
    <w:name w:val="Body Text Indent 2"/>
    <w:basedOn w:val="Normal"/>
    <w:link w:val="BodyTextIndent2Char"/>
    <w:uiPriority w:val="99"/>
    <w:semiHidden/>
    <w:unhideWhenUsed/>
    <w:rsid w:val="00EB3647"/>
    <w:pPr>
      <w:spacing w:after="120" w:line="480" w:lineRule="auto"/>
      <w:ind w:left="283"/>
    </w:pPr>
  </w:style>
  <w:style w:type="character" w:customStyle="1" w:styleId="BodyTextIndent2Char">
    <w:name w:val="Body Text Indent 2 Char"/>
    <w:basedOn w:val="DefaultParagraphFont"/>
    <w:link w:val="BodyTextIndent2"/>
    <w:uiPriority w:val="99"/>
    <w:semiHidden/>
    <w:rsid w:val="00EB3647"/>
    <w:rPr>
      <w:rFonts w:ascii="Calibri" w:eastAsia="Times New Roman" w:hAnsi="Calibri" w:cs="Times New Roman"/>
    </w:rPr>
  </w:style>
  <w:style w:type="paragraph" w:customStyle="1" w:styleId="Form">
    <w:name w:val="Form"/>
    <w:basedOn w:val="Normal"/>
    <w:rsid w:val="00FE0F18"/>
    <w:pPr>
      <w:tabs>
        <w:tab w:val="left" w:pos="1440"/>
        <w:tab w:val="left" w:pos="2160"/>
        <w:tab w:val="left" w:pos="2880"/>
        <w:tab w:val="right" w:pos="7200"/>
      </w:tabs>
      <w:spacing w:before="80" w:after="80" w:line="264" w:lineRule="auto"/>
      <w:ind w:firstLine="720"/>
      <w:jc w:val="both"/>
    </w:pPr>
    <w:rPr>
      <w:rFonts w:ascii=".VnTime" w:hAnsi=".VnTime"/>
      <w:sz w:val="28"/>
      <w:szCs w:val="24"/>
      <w:lang w:val="en-GB" w:eastAsia="en-GB"/>
    </w:rPr>
  </w:style>
  <w:style w:type="paragraph" w:styleId="Revision">
    <w:name w:val="Revision"/>
    <w:hidden/>
    <w:uiPriority w:val="99"/>
    <w:semiHidden/>
    <w:rsid w:val="00433726"/>
    <w:pPr>
      <w:spacing w:after="0" w:line="240" w:lineRule="auto"/>
    </w:pPr>
    <w:rPr>
      <w:rFonts w:ascii="Calibri" w:hAnsi="Calibri" w:cs="Times New Roman"/>
    </w:rPr>
  </w:style>
  <w:style w:type="character" w:customStyle="1" w:styleId="card-send-timesendtime">
    <w:name w:val="card-send-time__sendtime"/>
    <w:basedOn w:val="DefaultParagraphFont"/>
    <w:rsid w:val="00A13B89"/>
    <w:rPr>
      <w:rFonts w:cs="Times New Roman"/>
    </w:rPr>
  </w:style>
  <w:style w:type="character" w:styleId="Hyperlink">
    <w:name w:val="Hyperlink"/>
    <w:basedOn w:val="DefaultParagraphFont"/>
    <w:uiPriority w:val="99"/>
    <w:unhideWhenUsed/>
    <w:rsid w:val="00A65689"/>
    <w:rPr>
      <w:rFonts w:cs="Times New Roman"/>
      <w:color w:val="0563C1" w:themeColor="hyperlink"/>
      <w:u w:val="single"/>
    </w:rPr>
  </w:style>
  <w:style w:type="character" w:customStyle="1" w:styleId="Heading1Char">
    <w:name w:val="Heading 1 Char"/>
    <w:basedOn w:val="DefaultParagraphFont"/>
    <w:link w:val="Heading1"/>
    <w:rsid w:val="00AE240F"/>
    <w:rPr>
      <w:rFonts w:ascii="Arial" w:hAnsi="Arial" w:cs="Arial"/>
      <w:b/>
      <w:bCs/>
      <w:kern w:val="32"/>
      <w:sz w:val="32"/>
      <w:szCs w:val="32"/>
    </w:rPr>
  </w:style>
  <w:style w:type="character" w:customStyle="1" w:styleId="Heading2Char">
    <w:name w:val="Heading 2 Char"/>
    <w:basedOn w:val="DefaultParagraphFont"/>
    <w:link w:val="Heading2"/>
    <w:rsid w:val="00AE240F"/>
    <w:rPr>
      <w:rFonts w:ascii="Arial" w:hAnsi="Arial" w:cs="Times New Roman"/>
      <w:b/>
      <w:bCs/>
      <w:i/>
      <w:iCs/>
      <w:sz w:val="28"/>
      <w:szCs w:val="28"/>
    </w:rPr>
  </w:style>
  <w:style w:type="paragraph" w:customStyle="1" w:styleId="Char">
    <w:name w:val="Char"/>
    <w:basedOn w:val="Normal"/>
    <w:next w:val="Normal"/>
    <w:autoRedefine/>
    <w:semiHidden/>
    <w:rsid w:val="00AE240F"/>
    <w:pPr>
      <w:spacing w:before="120" w:after="120" w:line="312" w:lineRule="auto"/>
    </w:pPr>
    <w:rPr>
      <w:rFonts w:ascii="Times New Roman" w:hAnsi="Times New Roman"/>
      <w:sz w:val="28"/>
      <w:szCs w:val="28"/>
    </w:rPr>
  </w:style>
  <w:style w:type="character" w:customStyle="1" w:styleId="ListParagraphChar">
    <w:name w:val="List Paragraph Char"/>
    <w:aliases w:val="ko Char,Gạch đầu dòng Char,List a) Char,List Paragraph12 Char,List_Paragraph Char,ADB paragraph numbering Char,List Paragraph nowy Char,Bullets Char,List Paragraph (numbered (a)) Char,Numbered List Paragraph Char,References Char"/>
    <w:link w:val="ListParagraph"/>
    <w:uiPriority w:val="34"/>
    <w:qFormat/>
    <w:locked/>
    <w:rsid w:val="00AE240F"/>
    <w:rPr>
      <w:rFonts w:ascii="Calibri" w:hAnsi="Calibri" w:cs="Times New Roman"/>
    </w:rPr>
  </w:style>
  <w:style w:type="paragraph" w:styleId="FootnoteText">
    <w:name w:val="footnote text"/>
    <w:basedOn w:val="Normal"/>
    <w:link w:val="FootnoteTextChar10"/>
    <w:semiHidden/>
    <w:unhideWhenUsed/>
    <w:qFormat/>
    <w:rsid w:val="004074CD"/>
    <w:pPr>
      <w:spacing w:after="0" w:line="240" w:lineRule="auto"/>
    </w:pPr>
    <w:rPr>
      <w:sz w:val="20"/>
      <w:szCs w:val="20"/>
    </w:rPr>
  </w:style>
  <w:style w:type="character" w:customStyle="1" w:styleId="FootnoteTextChar10">
    <w:name w:val="Footnote Text Char1"/>
    <w:basedOn w:val="DefaultParagraphFont"/>
    <w:link w:val="FootnoteText"/>
    <w:semiHidden/>
    <w:rsid w:val="004074CD"/>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13479">
      <w:marLeft w:val="0"/>
      <w:marRight w:val="0"/>
      <w:marTop w:val="0"/>
      <w:marBottom w:val="0"/>
      <w:divBdr>
        <w:top w:val="none" w:sz="0" w:space="0" w:color="auto"/>
        <w:left w:val="none" w:sz="0" w:space="0" w:color="auto"/>
        <w:bottom w:val="none" w:sz="0" w:space="0" w:color="auto"/>
        <w:right w:val="none" w:sz="0" w:space="0" w:color="auto"/>
      </w:divBdr>
    </w:div>
    <w:div w:id="274413480">
      <w:marLeft w:val="0"/>
      <w:marRight w:val="0"/>
      <w:marTop w:val="0"/>
      <w:marBottom w:val="0"/>
      <w:divBdr>
        <w:top w:val="none" w:sz="0" w:space="0" w:color="auto"/>
        <w:left w:val="none" w:sz="0" w:space="0" w:color="auto"/>
        <w:bottom w:val="none" w:sz="0" w:space="0" w:color="auto"/>
        <w:right w:val="none" w:sz="0" w:space="0" w:color="auto"/>
      </w:divBdr>
    </w:div>
    <w:div w:id="274413490">
      <w:marLeft w:val="0"/>
      <w:marRight w:val="0"/>
      <w:marTop w:val="0"/>
      <w:marBottom w:val="0"/>
      <w:divBdr>
        <w:top w:val="none" w:sz="0" w:space="0" w:color="auto"/>
        <w:left w:val="none" w:sz="0" w:space="0" w:color="auto"/>
        <w:bottom w:val="none" w:sz="0" w:space="0" w:color="auto"/>
        <w:right w:val="none" w:sz="0" w:space="0" w:color="auto"/>
      </w:divBdr>
    </w:div>
    <w:div w:id="274413493">
      <w:marLeft w:val="0"/>
      <w:marRight w:val="0"/>
      <w:marTop w:val="0"/>
      <w:marBottom w:val="0"/>
      <w:divBdr>
        <w:top w:val="none" w:sz="0" w:space="0" w:color="auto"/>
        <w:left w:val="none" w:sz="0" w:space="0" w:color="auto"/>
        <w:bottom w:val="none" w:sz="0" w:space="0" w:color="auto"/>
        <w:right w:val="none" w:sz="0" w:space="0" w:color="auto"/>
      </w:divBdr>
      <w:divsChild>
        <w:div w:id="274413498">
          <w:marLeft w:val="0"/>
          <w:marRight w:val="0"/>
          <w:marTop w:val="0"/>
          <w:marBottom w:val="0"/>
          <w:divBdr>
            <w:top w:val="none" w:sz="0" w:space="0" w:color="auto"/>
            <w:left w:val="none" w:sz="0" w:space="0" w:color="auto"/>
            <w:bottom w:val="none" w:sz="0" w:space="0" w:color="auto"/>
            <w:right w:val="none" w:sz="0" w:space="0" w:color="auto"/>
          </w:divBdr>
          <w:divsChild>
            <w:div w:id="274413487">
              <w:marLeft w:val="0"/>
              <w:marRight w:val="0"/>
              <w:marTop w:val="0"/>
              <w:marBottom w:val="0"/>
              <w:divBdr>
                <w:top w:val="none" w:sz="0" w:space="0" w:color="auto"/>
                <w:left w:val="none" w:sz="0" w:space="0" w:color="auto"/>
                <w:bottom w:val="none" w:sz="0" w:space="0" w:color="auto"/>
                <w:right w:val="none" w:sz="0" w:space="0" w:color="auto"/>
              </w:divBdr>
              <w:divsChild>
                <w:div w:id="274413486">
                  <w:marLeft w:val="0"/>
                  <w:marRight w:val="-105"/>
                  <w:marTop w:val="0"/>
                  <w:marBottom w:val="0"/>
                  <w:divBdr>
                    <w:top w:val="none" w:sz="0" w:space="0" w:color="auto"/>
                    <w:left w:val="none" w:sz="0" w:space="0" w:color="auto"/>
                    <w:bottom w:val="none" w:sz="0" w:space="0" w:color="auto"/>
                    <w:right w:val="none" w:sz="0" w:space="0" w:color="auto"/>
                  </w:divBdr>
                  <w:divsChild>
                    <w:div w:id="274413476">
                      <w:marLeft w:val="0"/>
                      <w:marRight w:val="0"/>
                      <w:marTop w:val="0"/>
                      <w:marBottom w:val="420"/>
                      <w:divBdr>
                        <w:top w:val="none" w:sz="0" w:space="0" w:color="auto"/>
                        <w:left w:val="none" w:sz="0" w:space="0" w:color="auto"/>
                        <w:bottom w:val="none" w:sz="0" w:space="0" w:color="auto"/>
                        <w:right w:val="none" w:sz="0" w:space="0" w:color="auto"/>
                      </w:divBdr>
                      <w:divsChild>
                        <w:div w:id="274413482">
                          <w:marLeft w:val="240"/>
                          <w:marRight w:val="240"/>
                          <w:marTop w:val="0"/>
                          <w:marBottom w:val="165"/>
                          <w:divBdr>
                            <w:top w:val="none" w:sz="0" w:space="0" w:color="auto"/>
                            <w:left w:val="none" w:sz="0" w:space="0" w:color="auto"/>
                            <w:bottom w:val="none" w:sz="0" w:space="0" w:color="auto"/>
                            <w:right w:val="none" w:sz="0" w:space="0" w:color="auto"/>
                          </w:divBdr>
                          <w:divsChild>
                            <w:div w:id="274413488">
                              <w:marLeft w:val="150"/>
                              <w:marRight w:val="0"/>
                              <w:marTop w:val="0"/>
                              <w:marBottom w:val="0"/>
                              <w:divBdr>
                                <w:top w:val="none" w:sz="0" w:space="0" w:color="auto"/>
                                <w:left w:val="none" w:sz="0" w:space="0" w:color="auto"/>
                                <w:bottom w:val="none" w:sz="0" w:space="0" w:color="auto"/>
                                <w:right w:val="none" w:sz="0" w:space="0" w:color="auto"/>
                              </w:divBdr>
                              <w:divsChild>
                                <w:div w:id="274413478">
                                  <w:marLeft w:val="0"/>
                                  <w:marRight w:val="0"/>
                                  <w:marTop w:val="0"/>
                                  <w:marBottom w:val="0"/>
                                  <w:divBdr>
                                    <w:top w:val="none" w:sz="0" w:space="0" w:color="auto"/>
                                    <w:left w:val="none" w:sz="0" w:space="0" w:color="auto"/>
                                    <w:bottom w:val="none" w:sz="0" w:space="0" w:color="auto"/>
                                    <w:right w:val="none" w:sz="0" w:space="0" w:color="auto"/>
                                  </w:divBdr>
                                  <w:divsChild>
                                    <w:div w:id="274413494">
                                      <w:marLeft w:val="0"/>
                                      <w:marRight w:val="0"/>
                                      <w:marTop w:val="0"/>
                                      <w:marBottom w:val="0"/>
                                      <w:divBdr>
                                        <w:top w:val="none" w:sz="0" w:space="0" w:color="auto"/>
                                        <w:left w:val="none" w:sz="0" w:space="0" w:color="auto"/>
                                        <w:bottom w:val="none" w:sz="0" w:space="0" w:color="auto"/>
                                        <w:right w:val="none" w:sz="0" w:space="0" w:color="auto"/>
                                      </w:divBdr>
                                      <w:divsChild>
                                        <w:div w:id="274413497">
                                          <w:marLeft w:val="0"/>
                                          <w:marRight w:val="0"/>
                                          <w:marTop w:val="0"/>
                                          <w:marBottom w:val="60"/>
                                          <w:divBdr>
                                            <w:top w:val="none" w:sz="0" w:space="0" w:color="auto"/>
                                            <w:left w:val="none" w:sz="0" w:space="0" w:color="auto"/>
                                            <w:bottom w:val="none" w:sz="0" w:space="0" w:color="auto"/>
                                            <w:right w:val="none" w:sz="0" w:space="0" w:color="auto"/>
                                          </w:divBdr>
                                          <w:divsChild>
                                            <w:div w:id="274413483">
                                              <w:marLeft w:val="0"/>
                                              <w:marRight w:val="0"/>
                                              <w:marTop w:val="150"/>
                                              <w:marBottom w:val="0"/>
                                              <w:divBdr>
                                                <w:top w:val="none" w:sz="0" w:space="0" w:color="auto"/>
                                                <w:left w:val="none" w:sz="0" w:space="0" w:color="auto"/>
                                                <w:bottom w:val="none" w:sz="0" w:space="0" w:color="auto"/>
                                                <w:right w:val="none" w:sz="0" w:space="0" w:color="auto"/>
                                              </w:divBdr>
                                            </w:div>
                                            <w:div w:id="2744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13499">
          <w:marLeft w:val="0"/>
          <w:marRight w:val="0"/>
          <w:marTop w:val="0"/>
          <w:marBottom w:val="0"/>
          <w:divBdr>
            <w:top w:val="none" w:sz="0" w:space="0" w:color="auto"/>
            <w:left w:val="none" w:sz="0" w:space="0" w:color="auto"/>
            <w:bottom w:val="none" w:sz="0" w:space="0" w:color="auto"/>
            <w:right w:val="none" w:sz="0" w:space="0" w:color="auto"/>
          </w:divBdr>
          <w:divsChild>
            <w:div w:id="274413477">
              <w:marLeft w:val="0"/>
              <w:marRight w:val="0"/>
              <w:marTop w:val="0"/>
              <w:marBottom w:val="0"/>
              <w:divBdr>
                <w:top w:val="none" w:sz="0" w:space="0" w:color="auto"/>
                <w:left w:val="none" w:sz="0" w:space="0" w:color="auto"/>
                <w:bottom w:val="none" w:sz="0" w:space="0" w:color="auto"/>
                <w:right w:val="none" w:sz="0" w:space="0" w:color="auto"/>
              </w:divBdr>
              <w:divsChild>
                <w:div w:id="274413489">
                  <w:marLeft w:val="0"/>
                  <w:marRight w:val="0"/>
                  <w:marTop w:val="0"/>
                  <w:marBottom w:val="0"/>
                  <w:divBdr>
                    <w:top w:val="none" w:sz="0" w:space="0" w:color="auto"/>
                    <w:left w:val="none" w:sz="0" w:space="0" w:color="auto"/>
                    <w:bottom w:val="none" w:sz="0" w:space="0" w:color="auto"/>
                    <w:right w:val="none" w:sz="0" w:space="0" w:color="auto"/>
                  </w:divBdr>
                  <w:divsChild>
                    <w:div w:id="274413484">
                      <w:marLeft w:val="0"/>
                      <w:marRight w:val="0"/>
                      <w:marTop w:val="0"/>
                      <w:marBottom w:val="0"/>
                      <w:divBdr>
                        <w:top w:val="none" w:sz="0" w:space="0" w:color="auto"/>
                        <w:left w:val="none" w:sz="0" w:space="0" w:color="auto"/>
                        <w:bottom w:val="none" w:sz="0" w:space="0" w:color="auto"/>
                        <w:right w:val="none" w:sz="0" w:space="0" w:color="auto"/>
                      </w:divBdr>
                      <w:divsChild>
                        <w:div w:id="274413481">
                          <w:marLeft w:val="0"/>
                          <w:marRight w:val="0"/>
                          <w:marTop w:val="0"/>
                          <w:marBottom w:val="0"/>
                          <w:divBdr>
                            <w:top w:val="none" w:sz="0" w:space="0" w:color="auto"/>
                            <w:left w:val="none" w:sz="0" w:space="0" w:color="auto"/>
                            <w:bottom w:val="none" w:sz="0" w:space="0" w:color="auto"/>
                            <w:right w:val="none" w:sz="0" w:space="0" w:color="auto"/>
                          </w:divBdr>
                          <w:divsChild>
                            <w:div w:id="274413502">
                              <w:marLeft w:val="0"/>
                              <w:marRight w:val="0"/>
                              <w:marTop w:val="0"/>
                              <w:marBottom w:val="0"/>
                              <w:divBdr>
                                <w:top w:val="none" w:sz="0" w:space="0" w:color="auto"/>
                                <w:left w:val="none" w:sz="0" w:space="0" w:color="auto"/>
                                <w:bottom w:val="none" w:sz="0" w:space="0" w:color="auto"/>
                                <w:right w:val="none" w:sz="0" w:space="0" w:color="auto"/>
                              </w:divBdr>
                              <w:divsChild>
                                <w:div w:id="2744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3501">
          <w:marLeft w:val="0"/>
          <w:marRight w:val="0"/>
          <w:marTop w:val="0"/>
          <w:marBottom w:val="0"/>
          <w:divBdr>
            <w:top w:val="none" w:sz="0" w:space="0" w:color="auto"/>
            <w:left w:val="none" w:sz="0" w:space="0" w:color="auto"/>
            <w:bottom w:val="none" w:sz="0" w:space="0" w:color="auto"/>
            <w:right w:val="none" w:sz="0" w:space="0" w:color="auto"/>
          </w:divBdr>
          <w:divsChild>
            <w:div w:id="274413485">
              <w:marLeft w:val="0"/>
              <w:marRight w:val="0"/>
              <w:marTop w:val="0"/>
              <w:marBottom w:val="0"/>
              <w:divBdr>
                <w:top w:val="none" w:sz="0" w:space="0" w:color="auto"/>
                <w:left w:val="none" w:sz="0" w:space="0" w:color="auto"/>
                <w:bottom w:val="none" w:sz="0" w:space="0" w:color="auto"/>
                <w:right w:val="none" w:sz="0" w:space="0" w:color="auto"/>
              </w:divBdr>
              <w:divsChild>
                <w:div w:id="274413491">
                  <w:marLeft w:val="0"/>
                  <w:marRight w:val="0"/>
                  <w:marTop w:val="0"/>
                  <w:marBottom w:val="0"/>
                  <w:divBdr>
                    <w:top w:val="none" w:sz="0" w:space="0" w:color="auto"/>
                    <w:left w:val="none" w:sz="0" w:space="0" w:color="auto"/>
                    <w:bottom w:val="none" w:sz="0" w:space="0" w:color="auto"/>
                    <w:right w:val="none" w:sz="0" w:space="0" w:color="auto"/>
                  </w:divBdr>
                  <w:divsChild>
                    <w:div w:id="274413474">
                      <w:marLeft w:val="150"/>
                      <w:marRight w:val="0"/>
                      <w:marTop w:val="100"/>
                      <w:marBottom w:val="100"/>
                      <w:divBdr>
                        <w:top w:val="none" w:sz="0" w:space="0" w:color="auto"/>
                        <w:left w:val="none" w:sz="0" w:space="0" w:color="auto"/>
                        <w:bottom w:val="none" w:sz="0" w:space="0" w:color="auto"/>
                        <w:right w:val="none" w:sz="0" w:space="0" w:color="auto"/>
                      </w:divBdr>
                      <w:divsChild>
                        <w:div w:id="2744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13496">
      <w:marLeft w:val="0"/>
      <w:marRight w:val="0"/>
      <w:marTop w:val="0"/>
      <w:marBottom w:val="0"/>
      <w:divBdr>
        <w:top w:val="none" w:sz="0" w:space="0" w:color="auto"/>
        <w:left w:val="none" w:sz="0" w:space="0" w:color="auto"/>
        <w:bottom w:val="none" w:sz="0" w:space="0" w:color="auto"/>
        <w:right w:val="none" w:sz="0" w:space="0" w:color="auto"/>
      </w:divBdr>
    </w:div>
    <w:div w:id="274413500">
      <w:marLeft w:val="0"/>
      <w:marRight w:val="0"/>
      <w:marTop w:val="0"/>
      <w:marBottom w:val="0"/>
      <w:divBdr>
        <w:top w:val="none" w:sz="0" w:space="0" w:color="auto"/>
        <w:left w:val="none" w:sz="0" w:space="0" w:color="auto"/>
        <w:bottom w:val="none" w:sz="0" w:space="0" w:color="auto"/>
        <w:right w:val="none" w:sz="0" w:space="0" w:color="auto"/>
      </w:divBdr>
    </w:div>
    <w:div w:id="274413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8629A-F241-4FB3-9F3A-8BB618241E05}">
  <ds:schemaRefs>
    <ds:schemaRef ds:uri="http://schemas.openxmlformats.org/officeDocument/2006/bibliography"/>
  </ds:schemaRefs>
</ds:datastoreItem>
</file>

<file path=customXml/itemProps2.xml><?xml version="1.0" encoding="utf-8"?>
<ds:datastoreItem xmlns:ds="http://schemas.openxmlformats.org/officeDocument/2006/customXml" ds:itemID="{C7B41BFB-55A9-4A2D-8BE7-5E1C57B3AC6A}"/>
</file>

<file path=customXml/itemProps3.xml><?xml version="1.0" encoding="utf-8"?>
<ds:datastoreItem xmlns:ds="http://schemas.openxmlformats.org/officeDocument/2006/customXml" ds:itemID="{F4604128-BB2A-48BB-928F-E7A1C69C0DCD}"/>
</file>

<file path=customXml/itemProps4.xml><?xml version="1.0" encoding="utf-8"?>
<ds:datastoreItem xmlns:ds="http://schemas.openxmlformats.org/officeDocument/2006/customXml" ds:itemID="{21682EA5-FB13-43A6-9C97-E4EF3A3C4C68}"/>
</file>

<file path=docProps/app.xml><?xml version="1.0" encoding="utf-8"?>
<Properties xmlns="http://schemas.openxmlformats.org/officeDocument/2006/extended-properties" xmlns:vt="http://schemas.openxmlformats.org/officeDocument/2006/docPropsVTypes">
  <Template>Normal</Template>
  <TotalTime>6</TotalTime>
  <Pages>6</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08082024</dc:creator>
  <cp:keywords/>
  <dc:description/>
  <cp:lastModifiedBy>Nguyen Ha Thanh</cp:lastModifiedBy>
  <cp:revision>3</cp:revision>
  <cp:lastPrinted>2023-08-23T08:00:00Z</cp:lastPrinted>
  <dcterms:created xsi:type="dcterms:W3CDTF">2024-08-26T11:07:00Z</dcterms:created>
  <dcterms:modified xsi:type="dcterms:W3CDTF">2024-08-27T00:19:00Z</dcterms:modified>
</cp:coreProperties>
</file>